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3"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13G</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36Kr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Ordinary Shares, par value US$0.0001 per share</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88429K103(1)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March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080" w:hanging="611"/>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080" w:hanging="611"/>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(1) This CUSIP number applies to the Issuer’s American Depositary Shares, each representing 25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0596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05965" cy="222885"/>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CUSIP No. 88429K103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3746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746500"/>
                    </a:xfrm>
                    <a:prstGeom prst="rect">
                      <a:avLst/>
                    </a:prstGeom>
                    <a:noFill/>
                  </pic:spPr>
                </pic:pic>
              </a:graphicData>
            </a:graphic>
          </wp:anchor>
        </w:drawing>
      </w:r>
    </w:p>
    <w:p>
      <w:pPr>
        <w:spacing w:after="0" w:line="340" w:lineRule="exact"/>
        <w:rPr>
          <w:sz w:val="20"/>
          <w:szCs w:val="20"/>
          <w:color w:val="auto"/>
        </w:rPr>
      </w:pPr>
    </w:p>
    <w:p>
      <w:pPr>
        <w:ind w:left="720" w:right="8320" w:hanging="636"/>
        <w:spacing w:after="0" w:line="306" w:lineRule="auto"/>
        <w:tabs>
          <w:tab w:leader="none" w:pos="7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Names of Reporting Persons </w:t>
      </w:r>
      <w:r>
        <w:rPr>
          <w:rFonts w:ascii="Arial" w:cs="Arial" w:eastAsia="Arial" w:hAnsi="Arial"/>
          <w:sz w:val="17"/>
          <w:szCs w:val="17"/>
          <w:color w:val="auto"/>
        </w:rPr>
        <w:t>Ant Group Co., Ltd.</w:t>
      </w:r>
    </w:p>
    <w:p>
      <w:pPr>
        <w:spacing w:after="0" w:line="1" w:lineRule="exact"/>
        <w:rPr>
          <w:sz w:val="20"/>
          <w:szCs w:val="20"/>
          <w:color w:val="auto"/>
        </w:rPr>
      </w:pPr>
    </w:p>
    <w:p>
      <w:pPr>
        <w:ind w:left="720" w:hanging="636"/>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67" w:lineRule="exact"/>
        <w:rPr>
          <w:rFonts w:ascii="Arial" w:cs="Arial" w:eastAsia="Arial" w:hAnsi="Arial"/>
          <w:sz w:val="18"/>
          <w:szCs w:val="18"/>
          <w:b w:val="1"/>
          <w:bCs w:val="1"/>
          <w:color w:val="auto"/>
        </w:rPr>
      </w:pPr>
    </w:p>
    <w:p>
      <w:pPr>
        <w:ind w:left="1060" w:hanging="332"/>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63" w:lineRule="exact"/>
        <w:rPr>
          <w:rFonts w:ascii="Arial" w:cs="Arial" w:eastAsia="Arial" w:hAnsi="Arial"/>
          <w:sz w:val="18"/>
          <w:szCs w:val="18"/>
          <w:color w:val="auto"/>
        </w:rPr>
      </w:pPr>
    </w:p>
    <w:p>
      <w:pPr>
        <w:ind w:left="1060" w:hanging="332"/>
        <w:spacing w:after="0"/>
        <w:tabs>
          <w:tab w:leader="none" w:pos="10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73" w:lineRule="exact"/>
        <w:rPr>
          <w:sz w:val="20"/>
          <w:szCs w:val="20"/>
          <w:color w:val="auto"/>
        </w:rPr>
      </w:pPr>
    </w:p>
    <w:p>
      <w:pPr>
        <w:ind w:left="720" w:hanging="636"/>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77" w:lineRule="exact"/>
        <w:rPr>
          <w:sz w:val="20"/>
          <w:szCs w:val="20"/>
          <w:color w:val="auto"/>
        </w:rPr>
      </w:pPr>
    </w:p>
    <w:p>
      <w:pPr>
        <w:ind w:left="720" w:right="7720" w:hanging="636"/>
        <w:spacing w:after="0" w:line="306" w:lineRule="auto"/>
        <w:tabs>
          <w:tab w:leader="none" w:pos="7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People’s Republic of China</w:t>
      </w:r>
    </w:p>
    <w:tbl>
      <w:tblPr>
        <w:tblLayout w:type="fixed"/>
        <w:tblInd w:w="0" w:type="dxa"/>
        <w:tblCellMar>
          <w:top w:w="0" w:type="dxa"/>
          <w:left w:w="0" w:type="dxa"/>
          <w:bottom w:w="0" w:type="dxa"/>
          <w:right w:w="0" w:type="dxa"/>
        </w:tblCellMar>
      </w:tblPr>
      <w:tr>
        <w:trPr>
          <w:trHeight w:val="230"/>
        </w:trPr>
        <w:tc>
          <w:tcPr>
            <w:tcW w:w="13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94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98"/>
        </w:trPr>
        <w:tc>
          <w:tcPr>
            <w:tcW w:w="1380" w:type="dxa"/>
            <w:vAlign w:val="bottom"/>
            <w:tcBorders>
              <w:right w:val="single" w:sz="8" w:color="auto"/>
            </w:tcBorders>
            <w:vMerge w:val="continue"/>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9420" w:type="dxa"/>
            <w:vAlign w:val="bottom"/>
          </w:tcPr>
          <w:p>
            <w:pPr>
              <w:ind w:left="60"/>
              <w:spacing w:after="0" w:line="19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440" w:type="dxa"/>
            <w:vAlign w:val="bottom"/>
            <w:tcBorders>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80" w:type="dxa"/>
            <w:vAlign w:val="bottom"/>
            <w:tcBorders>
              <w:right w:val="single" w:sz="8" w:color="auto"/>
            </w:tcBorders>
            <w:vMerge w:val="continue"/>
          </w:tcPr>
          <w:p>
            <w:pPr>
              <w:spacing w:after="0"/>
              <w:rPr>
                <w:sz w:val="14"/>
                <w:szCs w:val="14"/>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6</w:t>
            </w:r>
          </w:p>
        </w:tc>
        <w:tc>
          <w:tcPr>
            <w:tcW w:w="94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vMerge w:val="continue"/>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9"/>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right w:val="single" w:sz="8" w:color="auto"/>
            </w:tcBorders>
          </w:tcPr>
          <w:p>
            <w:pPr>
              <w:spacing w:after="0"/>
              <w:rPr>
                <w:sz w:val="8"/>
                <w:szCs w:val="8"/>
                <w:color w:val="auto"/>
              </w:rPr>
            </w:pPr>
          </w:p>
        </w:tc>
        <w:tc>
          <w:tcPr>
            <w:tcW w:w="94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80" w:type="dxa"/>
            <w:vAlign w:val="bottom"/>
            <w:tcBorders>
              <w:right w:val="single" w:sz="8" w:color="auto"/>
            </w:tcBorders>
            <w:vMerge w:val="continue"/>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7</w:t>
            </w:r>
          </w:p>
        </w:tc>
        <w:tc>
          <w:tcPr>
            <w:tcW w:w="94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right w:val="single" w:sz="8" w:color="auto"/>
            </w:tcBorders>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8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8"/>
                <w:szCs w:val="18"/>
                <w:b w:val="1"/>
                <w:bCs w:val="1"/>
                <w:color w:val="auto"/>
              </w:rPr>
              <w:t>Reporting</w:t>
            </w:r>
          </w:p>
        </w:tc>
        <w:tc>
          <w:tcPr>
            <w:tcW w:w="440" w:type="dxa"/>
            <w:vAlign w:val="bottom"/>
            <w:tcBorders>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Person With:</w:t>
            </w:r>
          </w:p>
        </w:tc>
        <w:tc>
          <w:tcPr>
            <w:tcW w:w="4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w:t>
            </w: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13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60" w:right="5420" w:hanging="676"/>
        <w:spacing w:after="0" w:line="282" w:lineRule="auto"/>
        <w:tabs>
          <w:tab w:leader="none" w:pos="7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13" w:lineRule="exact"/>
        <w:rPr>
          <w:sz w:val="20"/>
          <w:szCs w:val="20"/>
          <w:color w:val="auto"/>
        </w:rPr>
      </w:pPr>
    </w:p>
    <w:p>
      <w:pPr>
        <w:ind w:left="760" w:hanging="676"/>
        <w:spacing w:after="0"/>
        <w:tabs>
          <w:tab w:leader="none" w:pos="7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76" w:lineRule="exact"/>
        <w:rPr>
          <w:rFonts w:ascii="Arial" w:cs="Arial" w:eastAsia="Arial" w:hAnsi="Arial"/>
          <w:sz w:val="18"/>
          <w:szCs w:val="18"/>
          <w:b w:val="1"/>
          <w:bCs w:val="1"/>
          <w:color w:val="auto"/>
        </w:rPr>
      </w:pPr>
    </w:p>
    <w:p>
      <w:pPr>
        <w:ind w:left="760" w:right="6500" w:hanging="676"/>
        <w:spacing w:after="0" w:line="282" w:lineRule="auto"/>
        <w:tabs>
          <w:tab w:leader="none" w:pos="7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13" w:lineRule="exact"/>
        <w:rPr>
          <w:rFonts w:ascii="Arial" w:cs="Arial" w:eastAsia="Arial" w:hAnsi="Arial"/>
          <w:sz w:val="18"/>
          <w:szCs w:val="18"/>
          <w:b w:val="1"/>
          <w:bCs w:val="1"/>
          <w:color w:val="auto"/>
        </w:rPr>
      </w:pPr>
    </w:p>
    <w:p>
      <w:pPr>
        <w:ind w:left="760" w:hanging="676"/>
        <w:spacing w:after="0"/>
        <w:tabs>
          <w:tab w:leader="none" w:pos="7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720" w:hanging="636"/>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3745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745865"/>
                    </a:xfrm>
                    <a:prstGeom prst="rect">
                      <a:avLst/>
                    </a:prstGeom>
                    <a:noFill/>
                  </pic:spPr>
                </pic:pic>
              </a:graphicData>
            </a:graphic>
          </wp:anchor>
        </w:drawing>
        <w:t>Names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Shanghai Yunju Venture Capital Co., Ltd.</w:t>
      </w:r>
    </w:p>
    <w:p>
      <w:pPr>
        <w:spacing w:after="0" w:line="58" w:lineRule="exact"/>
        <w:rPr>
          <w:sz w:val="20"/>
          <w:szCs w:val="20"/>
          <w:color w:val="auto"/>
        </w:rPr>
      </w:pPr>
    </w:p>
    <w:p>
      <w:pPr>
        <w:ind w:left="720" w:hanging="636"/>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67" w:lineRule="exact"/>
        <w:rPr>
          <w:rFonts w:ascii="Arial" w:cs="Arial" w:eastAsia="Arial" w:hAnsi="Arial"/>
          <w:sz w:val="18"/>
          <w:szCs w:val="18"/>
          <w:b w:val="1"/>
          <w:bCs w:val="1"/>
          <w:color w:val="auto"/>
        </w:rPr>
      </w:pPr>
    </w:p>
    <w:p>
      <w:pPr>
        <w:ind w:left="1060" w:hanging="332"/>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63" w:lineRule="exact"/>
        <w:rPr>
          <w:rFonts w:ascii="Arial" w:cs="Arial" w:eastAsia="Arial" w:hAnsi="Arial"/>
          <w:sz w:val="18"/>
          <w:szCs w:val="18"/>
          <w:color w:val="auto"/>
        </w:rPr>
      </w:pPr>
    </w:p>
    <w:p>
      <w:pPr>
        <w:ind w:left="1060" w:hanging="332"/>
        <w:spacing w:after="0"/>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73" w:lineRule="exact"/>
        <w:rPr>
          <w:sz w:val="20"/>
          <w:szCs w:val="20"/>
          <w:color w:val="auto"/>
        </w:rPr>
      </w:pPr>
    </w:p>
    <w:p>
      <w:pPr>
        <w:ind w:left="720" w:hanging="636"/>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77" w:lineRule="exact"/>
        <w:rPr>
          <w:sz w:val="20"/>
          <w:szCs w:val="20"/>
          <w:color w:val="auto"/>
        </w:rPr>
      </w:pPr>
    </w:p>
    <w:p>
      <w:pPr>
        <w:ind w:left="720" w:right="7720" w:hanging="636"/>
        <w:spacing w:after="0" w:line="306" w:lineRule="auto"/>
        <w:tabs>
          <w:tab w:leader="none" w:pos="7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People’s Republic of China</w:t>
      </w:r>
    </w:p>
    <w:tbl>
      <w:tblPr>
        <w:tblLayout w:type="fixed"/>
        <w:tblInd w:w="0" w:type="dxa"/>
        <w:tblCellMar>
          <w:top w:w="0" w:type="dxa"/>
          <w:left w:w="0" w:type="dxa"/>
          <w:bottom w:w="0" w:type="dxa"/>
          <w:right w:w="0" w:type="dxa"/>
        </w:tblCellMar>
      </w:tblPr>
      <w:tr>
        <w:trPr>
          <w:trHeight w:val="230"/>
        </w:trPr>
        <w:tc>
          <w:tcPr>
            <w:tcW w:w="13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94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98"/>
        </w:trPr>
        <w:tc>
          <w:tcPr>
            <w:tcW w:w="1380" w:type="dxa"/>
            <w:vAlign w:val="bottom"/>
            <w:tcBorders>
              <w:right w:val="single" w:sz="8" w:color="auto"/>
            </w:tcBorders>
            <w:vMerge w:val="continue"/>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9420" w:type="dxa"/>
            <w:vAlign w:val="bottom"/>
          </w:tcPr>
          <w:p>
            <w:pPr>
              <w:ind w:left="60"/>
              <w:spacing w:after="0" w:line="19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440" w:type="dxa"/>
            <w:vAlign w:val="bottom"/>
            <w:tcBorders>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80" w:type="dxa"/>
            <w:vAlign w:val="bottom"/>
            <w:tcBorders>
              <w:right w:val="single" w:sz="8" w:color="auto"/>
            </w:tcBorders>
            <w:vMerge w:val="continue"/>
          </w:tcPr>
          <w:p>
            <w:pPr>
              <w:spacing w:after="0"/>
              <w:rPr>
                <w:sz w:val="14"/>
                <w:szCs w:val="14"/>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6</w:t>
            </w:r>
          </w:p>
        </w:tc>
        <w:tc>
          <w:tcPr>
            <w:tcW w:w="94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vMerge w:val="continue"/>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9"/>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right w:val="single" w:sz="8" w:color="auto"/>
            </w:tcBorders>
          </w:tcPr>
          <w:p>
            <w:pPr>
              <w:spacing w:after="0"/>
              <w:rPr>
                <w:sz w:val="8"/>
                <w:szCs w:val="8"/>
                <w:color w:val="auto"/>
              </w:rPr>
            </w:pPr>
          </w:p>
        </w:tc>
        <w:tc>
          <w:tcPr>
            <w:tcW w:w="94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80" w:type="dxa"/>
            <w:vAlign w:val="bottom"/>
            <w:tcBorders>
              <w:right w:val="single" w:sz="8" w:color="auto"/>
            </w:tcBorders>
            <w:vMerge w:val="continue"/>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7</w:t>
            </w:r>
          </w:p>
        </w:tc>
        <w:tc>
          <w:tcPr>
            <w:tcW w:w="94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right w:val="single" w:sz="8" w:color="auto"/>
            </w:tcBorders>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8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8"/>
                <w:szCs w:val="18"/>
                <w:b w:val="1"/>
                <w:bCs w:val="1"/>
                <w:color w:val="auto"/>
              </w:rPr>
              <w:t>Reporting</w:t>
            </w:r>
          </w:p>
        </w:tc>
        <w:tc>
          <w:tcPr>
            <w:tcW w:w="440" w:type="dxa"/>
            <w:vAlign w:val="bottom"/>
            <w:tcBorders>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Person With:</w:t>
            </w:r>
          </w:p>
        </w:tc>
        <w:tc>
          <w:tcPr>
            <w:tcW w:w="4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w:t>
            </w: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13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60" w:right="5420" w:hanging="676"/>
        <w:spacing w:after="0" w:line="282" w:lineRule="auto"/>
        <w:tabs>
          <w:tab w:leader="none" w:pos="7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13" w:lineRule="exact"/>
        <w:rPr>
          <w:sz w:val="20"/>
          <w:szCs w:val="20"/>
          <w:color w:val="auto"/>
        </w:rPr>
      </w:pPr>
    </w:p>
    <w:p>
      <w:pPr>
        <w:ind w:left="760" w:hanging="676"/>
        <w:spacing w:after="0"/>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76" w:lineRule="exact"/>
        <w:rPr>
          <w:rFonts w:ascii="Arial" w:cs="Arial" w:eastAsia="Arial" w:hAnsi="Arial"/>
          <w:sz w:val="18"/>
          <w:szCs w:val="18"/>
          <w:b w:val="1"/>
          <w:bCs w:val="1"/>
          <w:color w:val="auto"/>
        </w:rPr>
      </w:pPr>
    </w:p>
    <w:p>
      <w:pPr>
        <w:ind w:left="760" w:right="6500" w:hanging="676"/>
        <w:spacing w:after="0" w:line="282" w:lineRule="auto"/>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13" w:lineRule="exact"/>
        <w:rPr>
          <w:rFonts w:ascii="Arial" w:cs="Arial" w:eastAsia="Arial" w:hAnsi="Arial"/>
          <w:sz w:val="18"/>
          <w:szCs w:val="18"/>
          <w:b w:val="1"/>
          <w:bCs w:val="1"/>
          <w:color w:val="auto"/>
        </w:rPr>
      </w:pPr>
    </w:p>
    <w:p>
      <w:pPr>
        <w:ind w:left="760" w:hanging="676"/>
        <w:spacing w:after="0"/>
        <w:tabs>
          <w:tab w:leader="none" w:pos="7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ind w:left="720" w:hanging="636"/>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3745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745865"/>
                    </a:xfrm>
                    <a:prstGeom prst="rect">
                      <a:avLst/>
                    </a:prstGeom>
                    <a:noFill/>
                  </pic:spPr>
                </pic:pic>
              </a:graphicData>
            </a:graphic>
          </wp:anchor>
        </w:drawing>
        <w:t>Names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API (Hong Kong) Investment Limited</w:t>
      </w:r>
    </w:p>
    <w:p>
      <w:pPr>
        <w:spacing w:after="0" w:line="58" w:lineRule="exact"/>
        <w:rPr>
          <w:sz w:val="20"/>
          <w:szCs w:val="20"/>
          <w:color w:val="auto"/>
        </w:rPr>
      </w:pPr>
    </w:p>
    <w:p>
      <w:pPr>
        <w:ind w:left="720" w:hanging="636"/>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67" w:lineRule="exact"/>
        <w:rPr>
          <w:rFonts w:ascii="Arial" w:cs="Arial" w:eastAsia="Arial" w:hAnsi="Arial"/>
          <w:sz w:val="18"/>
          <w:szCs w:val="18"/>
          <w:b w:val="1"/>
          <w:bCs w:val="1"/>
          <w:color w:val="auto"/>
        </w:rPr>
      </w:pPr>
    </w:p>
    <w:p>
      <w:pPr>
        <w:ind w:left="1060" w:hanging="332"/>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63" w:lineRule="exact"/>
        <w:rPr>
          <w:rFonts w:ascii="Arial" w:cs="Arial" w:eastAsia="Arial" w:hAnsi="Arial"/>
          <w:sz w:val="18"/>
          <w:szCs w:val="18"/>
          <w:color w:val="auto"/>
        </w:rPr>
      </w:pPr>
    </w:p>
    <w:p>
      <w:pPr>
        <w:ind w:left="1060" w:hanging="332"/>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73" w:lineRule="exact"/>
        <w:rPr>
          <w:sz w:val="20"/>
          <w:szCs w:val="20"/>
          <w:color w:val="auto"/>
        </w:rPr>
      </w:pPr>
    </w:p>
    <w:p>
      <w:pPr>
        <w:ind w:left="720" w:hanging="636"/>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77" w:lineRule="exact"/>
        <w:rPr>
          <w:sz w:val="20"/>
          <w:szCs w:val="20"/>
          <w:color w:val="auto"/>
        </w:rPr>
      </w:pPr>
    </w:p>
    <w:p>
      <w:pPr>
        <w:ind w:left="720" w:right="7400" w:hanging="636"/>
        <w:spacing w:after="0" w:line="306" w:lineRule="auto"/>
        <w:tabs>
          <w:tab w:leader="none" w:pos="7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Hong Kong Special Administrative Region</w:t>
      </w:r>
    </w:p>
    <w:tbl>
      <w:tblPr>
        <w:tblLayout w:type="fixed"/>
        <w:tblInd w:w="0" w:type="dxa"/>
        <w:tblCellMar>
          <w:top w:w="0" w:type="dxa"/>
          <w:left w:w="0" w:type="dxa"/>
          <w:bottom w:w="0" w:type="dxa"/>
          <w:right w:w="0" w:type="dxa"/>
        </w:tblCellMar>
      </w:tblPr>
      <w:tr>
        <w:trPr>
          <w:trHeight w:val="230"/>
        </w:trPr>
        <w:tc>
          <w:tcPr>
            <w:tcW w:w="13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94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98"/>
        </w:trPr>
        <w:tc>
          <w:tcPr>
            <w:tcW w:w="1380" w:type="dxa"/>
            <w:vAlign w:val="bottom"/>
            <w:tcBorders>
              <w:right w:val="single" w:sz="8" w:color="auto"/>
            </w:tcBorders>
            <w:vMerge w:val="continue"/>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9420" w:type="dxa"/>
            <w:vAlign w:val="bottom"/>
          </w:tcPr>
          <w:p>
            <w:pPr>
              <w:ind w:left="60"/>
              <w:spacing w:after="0" w:line="19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440" w:type="dxa"/>
            <w:vAlign w:val="bottom"/>
            <w:tcBorders>
              <w:bottom w:val="single" w:sz="8" w:color="auto"/>
              <w:right w:val="single" w:sz="8" w:color="auto"/>
            </w:tcBorders>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80" w:type="dxa"/>
            <w:vAlign w:val="bottom"/>
            <w:tcBorders>
              <w:right w:val="single" w:sz="8" w:color="auto"/>
            </w:tcBorders>
            <w:vMerge w:val="continue"/>
          </w:tcPr>
          <w:p>
            <w:pPr>
              <w:spacing w:after="0"/>
              <w:rPr>
                <w:sz w:val="14"/>
                <w:szCs w:val="14"/>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6</w:t>
            </w:r>
          </w:p>
        </w:tc>
        <w:tc>
          <w:tcPr>
            <w:tcW w:w="94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85"/>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vMerge w:val="continue"/>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8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9"/>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right w:val="single" w:sz="8" w:color="auto"/>
            </w:tcBorders>
          </w:tcPr>
          <w:p>
            <w:pPr>
              <w:spacing w:after="0"/>
              <w:rPr>
                <w:sz w:val="8"/>
                <w:szCs w:val="8"/>
                <w:color w:val="auto"/>
              </w:rPr>
            </w:pPr>
          </w:p>
        </w:tc>
        <w:tc>
          <w:tcPr>
            <w:tcW w:w="94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380" w:type="dxa"/>
            <w:vAlign w:val="bottom"/>
            <w:tcBorders>
              <w:right w:val="single" w:sz="8" w:color="auto"/>
            </w:tcBorders>
            <w:vMerge w:val="continue"/>
          </w:tcPr>
          <w:p>
            <w:pPr>
              <w:spacing w:after="0"/>
              <w:rPr>
                <w:sz w:val="8"/>
                <w:szCs w:val="8"/>
                <w:color w:val="auto"/>
              </w:rPr>
            </w:pPr>
          </w:p>
        </w:tc>
        <w:tc>
          <w:tcPr>
            <w:tcW w:w="44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7</w:t>
            </w:r>
          </w:p>
        </w:tc>
        <w:tc>
          <w:tcPr>
            <w:tcW w:w="94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right w:val="single" w:sz="8" w:color="auto"/>
            </w:tcBorders>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8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8"/>
                <w:szCs w:val="18"/>
                <w:b w:val="1"/>
                <w:bCs w:val="1"/>
                <w:color w:val="auto"/>
              </w:rPr>
              <w:t>Reporting</w:t>
            </w:r>
          </w:p>
        </w:tc>
        <w:tc>
          <w:tcPr>
            <w:tcW w:w="440" w:type="dxa"/>
            <w:vAlign w:val="bottom"/>
            <w:tcBorders>
              <w:bottom w:val="single" w:sz="8" w:color="auto"/>
              <w:right w:val="single" w:sz="8" w:color="auto"/>
            </w:tcBorders>
          </w:tcPr>
          <w:p>
            <w:pPr>
              <w:spacing w:after="0"/>
              <w:rPr>
                <w:sz w:val="14"/>
                <w:szCs w:val="14"/>
                <w:color w:val="auto"/>
              </w:rPr>
            </w:pPr>
          </w:p>
        </w:tc>
        <w:tc>
          <w:tcPr>
            <w:tcW w:w="9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38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Person With:</w:t>
            </w:r>
          </w:p>
        </w:tc>
        <w:tc>
          <w:tcPr>
            <w:tcW w:w="4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w:t>
            </w: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13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60" w:right="5420" w:hanging="676"/>
        <w:spacing w:after="0" w:line="282" w:lineRule="auto"/>
        <w:tabs>
          <w:tab w:leader="none" w:pos="7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13" w:lineRule="exact"/>
        <w:rPr>
          <w:sz w:val="20"/>
          <w:szCs w:val="20"/>
          <w:color w:val="auto"/>
        </w:rPr>
      </w:pPr>
    </w:p>
    <w:p>
      <w:pPr>
        <w:ind w:left="760" w:hanging="676"/>
        <w:spacing w:after="0"/>
        <w:tabs>
          <w:tab w:leader="none" w:pos="7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if the Aggregate Amount in Row (9) Excludes Certain Shares (See Instructions) </w:t>
      </w:r>
      <w:r>
        <w:rPr>
          <w:rFonts w:ascii="Arial" w:cs="Arial" w:eastAsia="Arial" w:hAnsi="Arial"/>
          <w:sz w:val="18"/>
          <w:szCs w:val="18"/>
          <w:color w:val="auto"/>
        </w:rPr>
        <w:t>o</w:t>
      </w:r>
    </w:p>
    <w:p>
      <w:pPr>
        <w:spacing w:after="0" w:line="76" w:lineRule="exact"/>
        <w:rPr>
          <w:rFonts w:ascii="Arial" w:cs="Arial" w:eastAsia="Arial" w:hAnsi="Arial"/>
          <w:sz w:val="18"/>
          <w:szCs w:val="18"/>
          <w:b w:val="1"/>
          <w:bCs w:val="1"/>
          <w:color w:val="auto"/>
        </w:rPr>
      </w:pPr>
    </w:p>
    <w:p>
      <w:pPr>
        <w:ind w:left="760" w:right="6500" w:hanging="676"/>
        <w:spacing w:after="0" w:line="282" w:lineRule="auto"/>
        <w:tabs>
          <w:tab w:leader="none" w:pos="7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spacing w:after="0" w:line="13" w:lineRule="exact"/>
        <w:rPr>
          <w:rFonts w:ascii="Arial" w:cs="Arial" w:eastAsia="Arial" w:hAnsi="Arial"/>
          <w:sz w:val="18"/>
          <w:szCs w:val="18"/>
          <w:b w:val="1"/>
          <w:bCs w:val="1"/>
          <w:color w:val="auto"/>
        </w:rPr>
      </w:pPr>
    </w:p>
    <w:p>
      <w:pPr>
        <w:ind w:left="760" w:hanging="676"/>
        <w:spacing w:after="0"/>
        <w:tabs>
          <w:tab w:leader="none" w:pos="7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36Kr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5-6/F, Tower A1, Junhao Central Park Plaza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10 South Chaoyang Park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Chaoyang District, Beijing, People’s Republic of China, 100026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rFonts w:ascii="Arial" w:cs="Arial" w:eastAsia="Arial" w:hAnsi="Arial"/>
          <w:sz w:val="18"/>
          <w:szCs w:val="18"/>
          <w:b w:val="1"/>
          <w:bCs w:val="1"/>
          <w:color w:val="auto"/>
        </w:rPr>
      </w:pPr>
    </w:p>
    <w:p>
      <w:pPr>
        <w:ind w:left="880" w:hanging="224"/>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Ant Group Co., Ltd. (“Ant Group”), a company organized under the law of the People’s Republic of China;</w:t>
      </w:r>
    </w:p>
    <w:p>
      <w:pPr>
        <w:spacing w:after="0" w:line="225" w:lineRule="exact"/>
        <w:rPr>
          <w:rFonts w:ascii="Arial" w:cs="Arial" w:eastAsia="Arial" w:hAnsi="Arial"/>
          <w:sz w:val="18"/>
          <w:szCs w:val="18"/>
          <w:color w:val="auto"/>
        </w:rPr>
      </w:pPr>
    </w:p>
    <w:p>
      <w:pPr>
        <w:ind w:left="1300" w:hanging="644"/>
        <w:spacing w:after="0" w:line="277" w:lineRule="auto"/>
        <w:tabs>
          <w:tab w:leader="none" w:pos="917"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Shanghai Yunju Venture Capital Co., Ltd. (“Shanghai Yunju”), a company organized under the law of the People’s Republic of China and a wholly-owned subsidiary of Ant Group;</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96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API (Hong Kong) Investment Limited (“API”), a company organized under the law of Hong Kong Special Administrative Region and a wholly-owned subsidiary of Shanghai Yunju.</w:t>
      </w:r>
    </w:p>
    <w:p>
      <w:pPr>
        <w:spacing w:after="0" w:line="166"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880" w:hanging="224"/>
        <w:spacing w:after="0"/>
        <w:tabs>
          <w:tab w:leader="none" w:pos="8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address of the principal business office of Ant Group is Room 802, Building 5, Xixi Xinzuo, Xihu District, Hangzhou, China.</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address of the principal business office of Shanghai Yunju is Room A-522, 188 Yesheng Road, Shanghai Free Trade Zone, China.</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address of the principal business office of API is 26/F, Tower One, Times Square, 1 Matheson ST, Causeway Bay, Hong Kong.</w:t>
      </w:r>
    </w:p>
    <w:p>
      <w:pPr>
        <w:spacing w:after="0" w:line="232" w:lineRule="exact"/>
        <w:rPr>
          <w:rFonts w:ascii="Arial" w:cs="Arial" w:eastAsia="Arial" w:hAnsi="Arial"/>
          <w:sz w:val="17"/>
          <w:szCs w:val="17"/>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Each of Ant Group and Shanghai Yunju is organized under the law of the People’s Republic of China. API is organized under the law of Hong Kong Special Administrative Region.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and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ordinary shares, par value US$0.0001 per share</w:t>
      </w:r>
    </w:p>
    <w:p>
      <w:pPr>
        <w:spacing w:after="0" w:line="221" w:lineRule="exact"/>
        <w:rPr>
          <w:sz w:val="20"/>
          <w:szCs w:val="20"/>
          <w:color w:val="auto"/>
        </w:rPr>
      </w:pPr>
    </w:p>
    <w:p>
      <w:pPr>
        <w:ind w:left="660" w:right="9440" w:hanging="652"/>
        <w:spacing w:after="0" w:line="563" w:lineRule="auto"/>
        <w:tabs>
          <w:tab w:leader="none" w:pos="257"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No.: </w:t>
      </w:r>
      <w:r>
        <w:rPr>
          <w:rFonts w:ascii="Arial" w:cs="Arial" w:eastAsia="Arial" w:hAnsi="Arial"/>
          <w:sz w:val="16"/>
          <w:szCs w:val="16"/>
          <w:color w:val="auto"/>
        </w:rPr>
        <w:t>88429K103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Item 4. Ownership</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Sole power</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Shared</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power</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Shared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dispose or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to dispose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Sole power</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power to</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or</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to vote or</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vote or to</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 the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 direct the</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Reporting</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direct to</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direct the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disposition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disposition</w:t>
            </w: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Person</w:t>
            </w: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owned</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class</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Borders>
              <w:bottom w:val="single" w:sz="8" w:color="CCEEFF"/>
            </w:tcBorders>
          </w:tcPr>
          <w:p>
            <w:pPr>
              <w:spacing w:after="0"/>
              <w:rPr>
                <w:sz w:val="20"/>
                <w:szCs w:val="20"/>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Ant Group</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ind w:left="920"/>
              <w:spacing w:after="0"/>
              <w:rPr>
                <w:sz w:val="20"/>
                <w:szCs w:val="20"/>
                <w:color w:val="auto"/>
              </w:rPr>
            </w:pPr>
            <w:r>
              <w:rPr>
                <w:rFonts w:ascii="Arial" w:cs="Arial" w:eastAsia="Arial" w:hAnsi="Arial"/>
                <w:sz w:val="15"/>
                <w:szCs w:val="15"/>
                <w:color w:val="auto"/>
                <w:w w:val="71"/>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Shanghai Yunju</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API</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98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280" w:hanging="971"/>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jc w:val="center"/>
        <w:ind w:right="81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260"/>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Ant Group Co., Ltd.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Xiandong Jing</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Xiandong Jing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Legal Representative</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Shanghai Yunju Venture Capital Co., Ltd.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Xiandong Jing</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Xiandong Jing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Legal Representative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36Kr Holdings Inc. Schedule 13G]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API (Hong Kong) Investment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Leiming Chen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Leiming Chen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36Kr Holdings Inc. Schedule 13G]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accordance with Rule 13d-1(k) promulgated under the Securities Exchange Act of 1934, as amended, the undersigned hereby agree to the joint filing on behalf of each of them of a statement on Schedule 13G (including amendments thereto) with respect to the Class A ordinary shares, US$0.0001 par value per share, of 36Kr Holdings Inc., a Cayman Islands company, and that this Agreement may be included as an Exhibit to such joint filing. This Agreement may be executed in any number of counterparts, all of which taken together shall constitute one and the same instrument.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 WITNESS WHEREOF, the undersigned hereby execute this Agreement as of March 11,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Ant Group Co., Ltd.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Xiandong Jing</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Xiandong Jing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Legal Representative</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Shanghai Yunju Venture Capital Co., Ltd.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Xiandong Jing</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Xiandong Jing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Legal Representative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36Kr Holdings Inc. 13G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 WITNESS WHEREOF, the undersigned hereby execute this Agreement as of March 11,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API (Hong Kong) Investment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Leiming Chen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Leiming Chen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36Kr Holdings Inc. 13G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1"/>
      <w:numFmt w:val="bullet"/>
      <w:start w:val="1"/>
    </w:lvl>
  </w:abstractNum>
  <w:abstractNum w:abstractNumId="2">
    <w:nsid w:val="66EF438D"/>
    <w:multiLevelType w:val="hybridMultilevel"/>
    <w:lvl w:ilvl="0">
      <w:lvlJc w:val="left"/>
      <w:lvlText w:val="2"/>
      <w:numFmt w:val="bullet"/>
      <w:start w:val="1"/>
    </w:lvl>
    <w:lvl w:ilvl="1">
      <w:lvlJc w:val="left"/>
      <w:lvlText w:val="(%2)"/>
      <w:numFmt w:val="lowerLetter"/>
      <w:start w:val="1"/>
    </w:lvl>
  </w:abstractNum>
  <w:abstractNum w:abstractNumId="3">
    <w:nsid w:val="140E0F76"/>
    <w:multiLevelType w:val="hybridMultilevel"/>
    <w:lvl w:ilvl="0">
      <w:lvlJc w:val="left"/>
      <w:lvlText w:val="3"/>
      <w:numFmt w:val="bullet"/>
      <w:start w:val="1"/>
    </w:lvl>
  </w:abstractNum>
  <w:abstractNum w:abstractNumId="4">
    <w:nsid w:val="3352255A"/>
    <w:multiLevelType w:val="hybridMultilevel"/>
    <w:lvl w:ilvl="0">
      <w:lvlJc w:val="left"/>
      <w:lvlText w:val="4"/>
      <w:numFmt w:val="bullet"/>
      <w:start w:val="1"/>
    </w:lvl>
  </w:abstractNum>
  <w:abstractNum w:abstractNumId="5">
    <w:nsid w:val="109CF92E"/>
    <w:multiLevelType w:val="hybridMultilevel"/>
    <w:lvl w:ilvl="0">
      <w:lvlJc w:val="left"/>
      <w:lvlText w:val="9"/>
      <w:numFmt w:val="bullet"/>
      <w:start w:val="1"/>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2"/>
      <w:numFmt w:val="bullet"/>
      <w:start w:val="1"/>
    </w:lvl>
    <w:lvl w:ilvl="1">
      <w:lvlJc w:val="left"/>
      <w:lvlText w:val="(%2)"/>
      <w:numFmt w:val="lowerLetter"/>
      <w:start w:val="1"/>
    </w:lvl>
  </w:abstractNum>
  <w:abstractNum w:abstractNumId="9">
    <w:nsid w:val="41A7C4C9"/>
    <w:multiLevelType w:val="hybridMultilevel"/>
    <w:lvl w:ilvl="0">
      <w:lvlJc w:val="left"/>
      <w:lvlText w:val="3"/>
      <w:numFmt w:val="bullet"/>
      <w:start w:val="1"/>
    </w:lvl>
  </w:abstractNum>
  <w:abstractNum w:abstractNumId="10">
    <w:nsid w:val="6B68079A"/>
    <w:multiLevelType w:val="hybridMultilevel"/>
    <w:lvl w:ilvl="0">
      <w:lvlJc w:val="left"/>
      <w:lvlText w:val="4"/>
      <w:numFmt w:val="bullet"/>
      <w:start w:val="1"/>
    </w:lvl>
  </w:abstractNum>
  <w:abstractNum w:abstractNumId="11">
    <w:nsid w:val="4E6AFB66"/>
    <w:multiLevelType w:val="hybridMultilevel"/>
    <w:lvl w:ilvl="0">
      <w:lvlJc w:val="left"/>
      <w:lvlText w:val="9"/>
      <w:numFmt w:val="bullet"/>
      <w:start w:val="1"/>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2"/>
      <w:numFmt w:val="bullet"/>
      <w:start w:val="1"/>
    </w:lvl>
    <w:lvl w:ilvl="1">
      <w:lvlJc w:val="left"/>
      <w:lvlText w:val="(%2)"/>
      <w:numFmt w:val="lowerLetter"/>
      <w:start w:val="1"/>
    </w:lvl>
  </w:abstractNum>
  <w:abstractNum w:abstractNumId="15">
    <w:nsid w:val="3F2DBA31"/>
    <w:multiLevelType w:val="hybridMultilevel"/>
    <w:lvl w:ilvl="0">
      <w:lvlJc w:val="left"/>
      <w:lvlText w:val="3"/>
      <w:numFmt w:val="bullet"/>
      <w:start w:val="1"/>
    </w:lvl>
  </w:abstractNum>
  <w:abstractNum w:abstractNumId="16">
    <w:nsid w:val="7C83E458"/>
    <w:multiLevelType w:val="hybridMultilevel"/>
    <w:lvl w:ilvl="0">
      <w:lvlJc w:val="left"/>
      <w:lvlText w:val="4"/>
      <w:numFmt w:val="bullet"/>
      <w:start w:val="1"/>
    </w:lvl>
  </w:abstractNum>
  <w:abstractNum w:abstractNumId="17">
    <w:nsid w:val="257130A3"/>
    <w:multiLevelType w:val="hybridMultilevel"/>
    <w:lvl w:ilvl="0">
      <w:lvlJc w:val="left"/>
      <w:lvlText w:val="9"/>
      <w:numFmt w:val="bullet"/>
      <w:start w:val="1"/>
    </w:lvl>
  </w:abstractNum>
  <w:abstractNum w:abstractNumId="18">
    <w:nsid w:val="62BBD95A"/>
    <w:multiLevelType w:val="hybridMultilevel"/>
    <w:lvl w:ilvl="0">
      <w:lvlJc w:val="left"/>
      <w:lvlText w:val="%1"/>
      <w:numFmt w:val="decimal"/>
      <w:start w:val="10"/>
    </w:lvl>
  </w:abstractNum>
  <w:abstractNum w:abstractNumId="19">
    <w:nsid w:val="436C6125"/>
    <w:multiLevelType w:val="hybridMultilevel"/>
    <w:lvl w:ilvl="0">
      <w:lvlJc w:val="left"/>
      <w:lvlText w:val="(%1)"/>
      <w:numFmt w:val="lowerLetter"/>
      <w:start w:val="1"/>
    </w:lvl>
    <w:lvl w:ilvl="1">
      <w:lvlJc w:val="left"/>
      <w:lvlText w:val="(%2)"/>
      <w:numFmt w:val="lowerRoman"/>
      <w:start w:val="1"/>
    </w:lvl>
  </w:abstractNum>
  <w:abstractNum w:abstractNumId="20">
    <w:nsid w:val="628C895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2022-03-11T15:14:59Z</dcterms:created>
  <dcterms:modified xsi:type="dcterms:W3CDTF">2022-03-11T15:14:59Z</dcterms:modified>
</cp:coreProperties>
</file>