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485d1_6k.htm"/>
      <w:bookmarkStart w:id="1" w:name="kstm2623485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001-39117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36Kr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Building B6, Universal Business Park, </w:t>
        <w:br/>
        <w:t xml:space="preserve">No. 10 Jiuxianqiao Road, </w:t>
        <w:br/>
        <w:t>Chaoyang District, Beijing, People’s Republic of China, 100015</w:t>
        <w:br/>
        <w:t>+86 10 8965-0708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995"/>
        <w:gridCol w:w="60"/>
        <w:gridCol w:w="783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78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pPr>
            <w:hyperlink w:anchor="tm2623485d1_ex99-1.htm">
              <w:r>
                <w:rPr>
                  <w:rStyle w:val="InternetLink"/>
                  <w:rFonts w:ascii="Times New Roman;Times;Serif" w:hAnsi="Times New Roman;Times;Serif"/>
                  <w:sz w:val="2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835" w:type="dxa"/>
            <w:tcBorders/>
            <w:shd w:fill="CCEEFF" w:val="clear"/>
            <w:tcMar>
              <w:bottom w:w="0" w:type="dxa"/>
            </w:tcMar>
            <w:vAlign w:val="center"/>
          </w:tcPr>
          <w:p>
            <w:pPr>
              <w:pStyle w:val="TableContents"/>
              <w:bidi w:val="0"/>
              <w:spacing w:before="0" w:after="283"/>
              <w:jc w:val="left"/>
              <w:rPr/>
            </w:pPr>
            <w:hyperlink w:anchor="tm2623485d1_ex99-1.htm">
              <w:r>
                <w:rPr>
                  <w:rStyle w:val="InternetLink"/>
                </w:rPr>
                <w:t>36Kr Holdings Inc. Reports Unaudited Financial Results for the First Half of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470"/>
        <w:gridCol w:w="1610"/>
        <w:gridCol w:w="60"/>
        <w:gridCol w:w="320"/>
        <w:gridCol w:w="545"/>
        <w:gridCol w:w="3695"/>
      </w:tblGrid>
      <w:tr>
        <w:trPr/>
        <w:tc>
          <w:tcPr>
            <w:tcW w:w="47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6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36Kr Holdings Inc.</w:t>
            </w:r>
          </w:p>
        </w:tc>
      </w:tr>
      <w:tr>
        <w:trPr/>
        <w:tc>
          <w:tcPr>
            <w:tcW w:w="47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10" w:type="dxa"/>
            <w:tcBorders>
              <w:bottom w:val="single" w:sz="8" w:space="0" w:color="000000"/>
            </w:tcBorders>
            <w:tcMar>
              <w:bottom w:w="28" w:type="dxa"/>
            </w:tcMar>
            <w:vAlign w:val="center"/>
          </w:tcPr>
          <w:p>
            <w:pPr>
              <w:pStyle w:val="TableContents"/>
              <w:bidi w:val="0"/>
              <w:spacing w:before="0" w:after="283"/>
              <w:jc w:val="left"/>
              <w:rPr/>
            </w:pPr>
            <w:r>
              <w:rPr/>
              <w:t>August 20,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Dagang Feng</w:t>
            </w:r>
          </w:p>
        </w:tc>
      </w:tr>
      <w:tr>
        <w:trPr/>
        <w:tc>
          <w:tcPr>
            <w:tcW w:w="47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Dagang Feng</w:t>
            </w:r>
          </w:p>
        </w:tc>
      </w:tr>
      <w:tr>
        <w:trPr/>
        <w:tc>
          <w:tcPr>
            <w:tcW w:w="47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95" w:type="dxa"/>
            <w:tcBorders/>
            <w:vAlign w:val="center"/>
          </w:tcPr>
          <w:p>
            <w:pPr>
              <w:pStyle w:val="TableContents"/>
              <w:bidi w:val="0"/>
              <w:spacing w:before="0" w:after="283"/>
              <w:jc w:val="left"/>
              <w:rPr/>
            </w:pPr>
            <w:r>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jc w:val="left"/>
        <w:rPr/>
      </w:pPr>
      <w:bookmarkStart w:id="2" w:name="tm2623485d1_ex99-1.htm"/>
      <w:bookmarkStart w:id="3" w:name="kstm262348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 Reports Unaudited Financial Results for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BEIJING, August 20, 2026 / GLOBE NEWSWIRE / - </w:t>
      </w:r>
      <w:r>
        <w:rPr>
          <w:rFonts w:ascii="Times New Roman;Times;Serif" w:hAnsi="Times New Roman;Times;Serif"/>
          <w:b/>
          <w:i w:val="false"/>
          <w:caps w:val="false"/>
          <w:smallCaps w:val="false"/>
          <w:sz w:val="20"/>
        </w:rPr>
        <w:t>36Kr Holdings Inc.</w:t>
      </w:r>
      <w:r>
        <w:rPr>
          <w:rFonts w:ascii="Times New Roman;Times;Serif" w:hAnsi="Times New Roman;Times;Serif"/>
          <w:b w:val="false"/>
          <w:i w:val="false"/>
          <w:caps w:val="false"/>
          <w:smallCaps w:val="false"/>
          <w:sz w:val="20"/>
        </w:rPr>
        <w:t xml:space="preserve"> (“36Kr” or the “Company” or “We”) (NASDAQ: KRKR), a prominent brand and a pioneering platform dedicated to serving New Economy participants in China, today announced its unaudited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and Operational Highlights for the First Half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Number of followers</w:t>
            </w:r>
            <w:r>
              <w:rPr>
                <w:rFonts w:ascii="Times New Roman;Times;Serif" w:hAnsi="Times New Roman;Times;Serif"/>
                <w:position w:val="8"/>
                <w:sz w:val="19"/>
              </w:rPr>
              <w:t>1</w:t>
            </w:r>
            <w:r>
              <w:rPr>
                <w:rFonts w:ascii="Times New Roman;Times;Serif" w:hAnsi="Times New Roman;Times;Serif"/>
              </w:rPr>
              <w:t xml:space="preserve"> as of June 30, 2026 stood at 36.5 million, essentially flat compared with 36.6 million as of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Total revenues</w:t>
            </w:r>
            <w:r>
              <w:rPr>
                <w:rFonts w:ascii="Times New Roman;Times;Serif" w:hAnsi="Times New Roman;Times;Serif"/>
              </w:rPr>
              <w:t xml:space="preserve"> increased by 33.7% to RMB124.6 million (US$18.4 million) in the first half of 2026, from RMB93.2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Revenues from online advertising services</w:t>
            </w:r>
            <w:r>
              <w:rPr>
                <w:rFonts w:ascii="Times New Roman;Times;Serif" w:hAnsi="Times New Roman;Times;Serif"/>
              </w:rPr>
              <w:t xml:space="preserve"> increased by 38.9% to RMB103.5 million (US$15.3 million) in the first half of 2026, from RMB74.5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Revenues from enterprise value-added services</w:t>
            </w:r>
            <w:r>
              <w:rPr>
                <w:rFonts w:ascii="Times New Roman;Times;Serif" w:hAnsi="Times New Roman;Times;Serif"/>
              </w:rPr>
              <w:t xml:space="preserve"> increased by 25.4% to RMB15.3 million (US$2.3 million) in the first half of 2026, from RMB12.2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Revenues from subscription services</w:t>
            </w:r>
            <w:r>
              <w:rPr>
                <w:rFonts w:ascii="Times New Roman;Times;Serif" w:hAnsi="Times New Roman;Times;Serif"/>
              </w:rPr>
              <w:t xml:space="preserve"> were RMB5.8 million (US$0.8 million) in the first half of 2026, compared to RMB6.4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Gross margin </w:t>
            </w:r>
            <w:r>
              <w:rPr>
                <w:rFonts w:ascii="Times New Roman;Times;Serif" w:hAnsi="Times New Roman;Times;Serif"/>
              </w:rPr>
              <w:t>was 66.4% in the six months ended June 30, 2026, representing an increase of 12 percentage points from 54.4%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Net income </w:t>
            </w:r>
            <w:r>
              <w:rPr>
                <w:rFonts w:ascii="Times New Roman;Times;Serif" w:hAnsi="Times New Roman;Times;Serif"/>
              </w:rPr>
              <w:t>was RMB15.4 million (US$2.3 million) in the six months ended June 30, 2026, compared to a net loss of RMB4.8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“Number of followers” refers to the aggregate number of followers across the official accounts we own and/or operate on various social media and online platforms, including but not limited to Weixin, Weibo, Zhihu, Toutiao, Xinhua Net, Douyin, Rednote and Bilibili.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Selected Operating Data</w:t>
      </w:r>
    </w:p>
    <w:p>
      <w:pPr>
        <w:pStyle w:val="TextBody"/>
        <w:bidi w:val="0"/>
        <w:spacing w:before="0" w:after="0"/>
        <w:ind w:left="0" w:right="0" w:hanging="0"/>
        <w:jc w:val="left"/>
        <w:rPr>
          <w:caps w:val="false"/>
          <w:smallCaps w:val="false"/>
        </w:rPr>
      </w:pPr>
      <w:r>
        <w:rPr>
          <w:caps w:val="false"/>
          <w:smallCaps w:val="false"/>
        </w:rPr>
        <w:t> </w:t>
      </w:r>
    </w:p>
    <w:tbl>
      <w:tblPr>
        <w:tblW w:w="8826" w:type="dxa"/>
        <w:jc w:val="left"/>
        <w:tblInd w:w="0" w:type="dxa"/>
        <w:tblLayout w:type="fixed"/>
        <w:tblCellMar>
          <w:top w:w="0" w:type="dxa"/>
          <w:left w:w="0" w:type="dxa"/>
          <w:bottom w:w="0" w:type="dxa"/>
          <w:right w:w="0" w:type="dxa"/>
        </w:tblCellMar>
      </w:tblPr>
      <w:tblGrid>
        <w:gridCol w:w="6485"/>
        <w:gridCol w:w="60"/>
        <w:gridCol w:w="109"/>
        <w:gridCol w:w="885"/>
        <w:gridCol w:w="109"/>
        <w:gridCol w:w="109"/>
        <w:gridCol w:w="109"/>
        <w:gridCol w:w="885"/>
        <w:gridCol w:w="75"/>
      </w:tblGrid>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br/>
              <w:t>June 30,</w:t>
            </w:r>
          </w:p>
        </w:tc>
        <w:tc>
          <w:tcPr>
            <w:tcW w:w="75"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Online advertising services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online advertising services end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revenue per online advertising services end customer (RMB’000)</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329.7</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Enterprise 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enterprise value-added services end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revenue per enterprise value-added services end customer (RMB’000)</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249.5</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services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institutional investors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revenue per institutional investor (RMB’000)</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Dagang Feng, Chairman and CEO of 36Kr, commented, “In the first half of 2026, despite macroeconomic uncertainties, we grew total revenues by 33.7% year over year and delivered our second consecutive half-year of profitability. Revenue growth was led by a 38.9% year-over-year increase in online advertising services revenues as demand from the AI sector accelerated. We continued to strengthen our content ecosystem, reinforcing 36Kr's position as a top thought leader in China's new economy and technology innovation sectors, while extending our omni-channel distribution matrix. As of June 30, 2026, the number of our followers reached 36.5 million. Looking ahead, we will continue to build our content strengths, deepen our presence in frontier industries and technology verticals, and capture the opportunities of the AI era to create value for all of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Xiang Li, Chief Financial Officer of 36Kr, added, “We delivered a robust financial performance in the first half of 2026. Total revenues reached RMB124.6 million, up 33.7% year over year. Gross profit rose 63.1% year-over-year to RMB82.7 million and gross margin expanded by 12 percentage points to 66.4% from 54.4% in the same period of 2025, reflecting an improved revenue mix and disciplined cost control. Net income was RMB15.4 million, turning around from a net loss of RMB4.8 million in the prior year period. We ended the period with RMB124.2 million in cash and cash equivalents, restricted cash and short-term investments, up 6.9% from RMB116.1 million as of December 31, 2025, giving us ample liquidity to fund operations and sustain profitability while investing in high-quality,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Equals revenues generated from online advertising services for a period divided by the number of online advertising services end customers in the same period.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Equals revenues generated from enterprise value-added services for a period divided by the number of enterprise value-added services end customers in the same period.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Equals revenues generated from institutional investor subscription services for a period divided by the number of institutional investors in the same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Unaudited Financial Results for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revenues</w:t>
      </w:r>
      <w:r>
        <w:rPr>
          <w:rFonts w:ascii="Times New Roman;Times;Serif" w:hAnsi="Times New Roman;Times;Serif"/>
          <w:b w:val="false"/>
          <w:i w:val="false"/>
          <w:caps w:val="false"/>
          <w:smallCaps w:val="false"/>
          <w:sz w:val="20"/>
        </w:rPr>
        <w:t xml:space="preserve"> increased by 33.7% to RMB124.6 million (US$18.4 million) in the six months ended June 30, 2026, from RMB93.2 million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Online advertising services revenues</w:t>
            </w:r>
            <w:r>
              <w:rPr>
                <w:rFonts w:ascii="Times New Roman;Times;Serif" w:hAnsi="Times New Roman;Times;Serif"/>
              </w:rPr>
              <w:t xml:space="preserve"> increased by 38.9% to RMB103.5 million (US$15.3 million) in the six months ended June 30, 2026, from RMB74.5 million in the same period of 2025. The increase was primarily attributable to surging demand from the AI sector for our advertising 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Enterprise value-added services revenues </w:t>
            </w:r>
            <w:r>
              <w:rPr>
                <w:rFonts w:ascii="Times New Roman;Times;Serif" w:hAnsi="Times New Roman;Times;Serif"/>
              </w:rPr>
              <w:t>increased by 25.4% to RMB15.3 million (US$2.3 million) in the six months ended June 30, 2026, from RMB12.2 million in the same period of 2025. The increase was primarily driven by our ongoing refinement of service offerings aimed at margin improvement.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Subscription services revenues</w:t>
            </w:r>
            <w:r>
              <w:rPr>
                <w:rFonts w:ascii="Times New Roman;Times;Serif" w:hAnsi="Times New Roman;Times;Serif"/>
              </w:rPr>
              <w:t xml:space="preserve"> were RMB5.8 million (US$0.8 million) in the six months ended June 30, 2026, compared to RMB6.4 million in the same period of 2025. The decrease was primarily due to a strategic shift in this segment’s customer composition.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Cost of revenues </w:t>
      </w:r>
      <w:r>
        <w:rPr>
          <w:rFonts w:ascii="Times New Roman;Times;Serif" w:hAnsi="Times New Roman;Times;Serif"/>
          <w:b w:val="false"/>
          <w:i w:val="false"/>
          <w:caps w:val="false"/>
          <w:smallCaps w:val="false"/>
          <w:sz w:val="20"/>
        </w:rPr>
        <w:t>was RMB41.9 million (US$6.2 million) in the six months ended June 30, 2026, a slight decrease of 1.4% from RMB42.5 million in the same period of 2025. The decrease was primarily driven by the Company’s strict 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by 63.1% to RMB82.7 million (US$12.2 million) in the six months ended June 30, 2026, from RMB50.7 million in the same period of 2025. </w:t>
      </w:r>
      <w:r>
        <w:rPr>
          <w:rFonts w:ascii="Times New Roman;Times;Serif" w:hAnsi="Times New Roman;Times;Serif"/>
          <w:b/>
          <w:i w:val="false"/>
          <w:caps w:val="false"/>
          <w:smallCaps w:val="false"/>
          <w:sz w:val="20"/>
        </w:rPr>
        <w:t xml:space="preserve">Gross profit margin </w:t>
      </w:r>
      <w:r>
        <w:rPr>
          <w:rFonts w:ascii="Times New Roman;Times;Serif" w:hAnsi="Times New Roman;Times;Serif"/>
          <w:b w:val="false"/>
          <w:i w:val="false"/>
          <w:caps w:val="false"/>
          <w:smallCaps w:val="false"/>
          <w:sz w:val="20"/>
        </w:rPr>
        <w:t>was 66.4% in the six months ended June 30, 2026, representing an increase of 12 percentage points from 54.4% in the same period of 2025. The increase in gross margin was primarily driven by higher margins from our online advertising services within the AI sector and a significant increase in related revenues, alongside flat payroll-related cost resulting from our strategic workforce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expenses</w:t>
      </w:r>
      <w:r>
        <w:rPr>
          <w:rFonts w:ascii="Times New Roman;Times;Serif" w:hAnsi="Times New Roman;Times;Serif"/>
          <w:b w:val="false"/>
          <w:i w:val="false"/>
          <w:caps w:val="false"/>
          <w:smallCaps w:val="false"/>
          <w:sz w:val="20"/>
        </w:rPr>
        <w:t xml:space="preserve"> increased by 6.6% to RMB59.6 million (US$8.8 million) in the six months ended June 30, 2026, from RMB55.9 million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Sales and marketing expenses </w:t>
            </w:r>
            <w:r>
              <w:rPr>
                <w:rFonts w:ascii="Times New Roman;Times;Serif" w:hAnsi="Times New Roman;Times;Serif"/>
              </w:rPr>
              <w:t>were RMB29.2 million (US$4.3 million) in the six months ended June  30, 2026, remaining flat year over year, reflecting our disciplined approach to sales spending.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General and administrative expenses </w:t>
            </w:r>
            <w:r>
              <w:rPr>
                <w:rFonts w:ascii="Times New Roman;Times;Serif" w:hAnsi="Times New Roman;Times;Serif"/>
              </w:rPr>
              <w:t>were RMB24.1 million (US$3.5 million) in the six months ended June 30, 2026, an increase of 20.5% from RMB20.0 million in the same period of 2025. The increase was primarily related to the increase in allowance for doubtful accounts and the payroll-related expenses.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Research and development expenses </w:t>
            </w:r>
            <w:r>
              <w:rPr>
                <w:rFonts w:ascii="Times New Roman;Times;Serif" w:hAnsi="Times New Roman;Times;Serif"/>
              </w:rPr>
              <w:t>were RMB6.4 million (US$0.9 million) in the six months ended June 30, 2026, remaining flat year over year, primarily reflecting our continued focus on R&amp;D efficiency and strategic project prioritization.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recognized in cost of revenues, sales and marketing expenses, research and development expenses, as well as general and administrative expenses totaled RMB19.7 thousand (US$2.9 thousand) in the six months ended June 30, 2026, compared to RMB89.6 thousand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expenses </w:t>
      </w:r>
      <w:r>
        <w:rPr>
          <w:rFonts w:ascii="Times New Roman;Times;Serif" w:hAnsi="Times New Roman;Times;Serif"/>
          <w:b w:val="false"/>
          <w:i w:val="false"/>
          <w:caps w:val="false"/>
          <w:smallCaps w:val="false"/>
          <w:sz w:val="20"/>
        </w:rPr>
        <w:t>were RMB7.7 million (US$1.1 million) in the six months ended June 30, 2026, compared to RMB0.4 million of other income in the same period of 2025. The change was mainly due to the increase in long-term investment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 expenses</w:t>
      </w:r>
      <w:r>
        <w:rPr>
          <w:rFonts w:ascii="Times New Roman;Times;Serif" w:hAnsi="Times New Roman;Times;Serif"/>
          <w:b w:val="false"/>
          <w:i w:val="false"/>
          <w:caps w:val="false"/>
          <w:smallCaps w:val="false"/>
          <w:sz w:val="20"/>
        </w:rPr>
        <w:t xml:space="preserve"> were RMB27 thousand (US$4 thousand) in the six months ended June 30, 2026, compared to RMB4 thousand of income tax credit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 xml:space="preserve">was RMB15.4 million (US$2.3 million) in the six months ended June 30, 2026, swinging from a net loss of RMB4.8 million in the same period of 2025. </w:t>
      </w:r>
      <w:r>
        <w:rPr>
          <w:rFonts w:ascii="Times New Roman;Times;Serif" w:hAnsi="Times New Roman;Times;Serif"/>
          <w:b/>
          <w:i w:val="false"/>
          <w:caps w:val="false"/>
          <w:smallCaps w:val="false"/>
          <w:sz w:val="20"/>
        </w:rPr>
        <w:t>Non-GAAP adjusted net income</w:t>
      </w:r>
      <w:r>
        <w:rPr>
          <w:rFonts w:ascii="Times New Roman;Times;Serif" w:hAnsi="Times New Roman;Times;Serif"/>
          <w:b/>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was RMB15.4 million (US$2.3 million) in the first half of 2026, compared to Non-GAAP adjusted net loss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of RMB4.7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attributable to 36Kr Holdings Inc.'s ordinary shareholders</w:t>
      </w:r>
      <w:r>
        <w:rPr>
          <w:rFonts w:ascii="Times New Roman;Times;Serif" w:hAnsi="Times New Roman;Times;Serif"/>
          <w:b w:val="false"/>
          <w:i w:val="false"/>
          <w:caps w:val="false"/>
          <w:smallCaps w:val="false"/>
          <w:sz w:val="20"/>
        </w:rPr>
        <w:t xml:space="preserve"> was RMB15.0 million (US$2.2 million) in the first half of 2026, compared to net loss attributable to 36Kr Holdings Inc.'s ordinary shareholders of RMB5.0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income per ADS </w:t>
      </w:r>
      <w:r>
        <w:rPr>
          <w:rFonts w:ascii="Times New Roman;Times;Serif" w:hAnsi="Times New Roman;Times;Serif"/>
          <w:b w:val="false"/>
          <w:i w:val="false"/>
          <w:caps w:val="false"/>
          <w:smallCaps w:val="false"/>
          <w:sz w:val="20"/>
        </w:rPr>
        <w:t>were RMB7.058 (US$1.040) and RMB7.056 (US$1.040), respectively, in the first half of 2026, compared to basic and diluted net loss per ADS of RMB2.307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Certain Balance Sheet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restricted cash and short-term investments of RMB124.2 million (US$18.3 million), an increase of 6.9% from RMB116.1 million as of December 31, 2025. The increase was mainly attributable to positive cash inflow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Non-GAAP adjusted income/(loss) represents net income/(loss) excluding share-based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 on August 20, 2026 (8:00 PM Beijing/Hong Kong Time on August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by phone, please access the link provided below to complete the pre-registration and dial in 5 minutes prior to the scheduled call start time. Upon registration, each participant will receive dial-in details to join the conference call.</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715"/>
        <w:gridCol w:w="5015"/>
      </w:tblGrid>
      <w:tr>
        <w:trPr/>
        <w:tc>
          <w:tcPr>
            <w:tcW w:w="1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Event Title:</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36Kr Holdings Inc. 2026 First Half Earnings Conference Call </w:t>
            </w:r>
          </w:p>
        </w:tc>
      </w:tr>
      <w:tr>
        <w:trPr/>
        <w:tc>
          <w:tcPr>
            <w:tcW w:w="1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Pre-registration link:</w:t>
            </w:r>
          </w:p>
        </w:tc>
        <w:tc>
          <w:tcPr>
            <w:tcW w:w="501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https://s1.c-conf.com/diamondpass/10056724-2vzyg1.html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http://ir.36kr.com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available for one week from the date of the conference, by dialing the following telephone numbers:</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625"/>
        <w:gridCol w:w="1475"/>
      </w:tblGrid>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United States:</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+1-855-883-1031</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+61-7-3107-6325</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 China:</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800-930-639</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Mainland China:</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400-120-9216</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Replay PIN:</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10056724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36Kr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36Kr Holdings Inc. is a prominent brand and a pioneering platform dedicated to serving New Economy participants in China with the mission of empowering New Economy participants to achieve more. The Company started its business with high-quality New Economy-focused content offerings, covering a variety of industries in China's New Economy with diverse distribution channels. Leveraging traffic brought by high-quality content, the Company has expanded its offerings to business services, including online advertising services, enterprise value-added services and subscription services to address the evolving needs of New Economy companies and upgrading needs of traditional companies. The Company is supported by comprehensive database and strong data analytics capabilities. Through diverse service offerings and the significant brand influence, the Company is well-positioned to continuously capture the high growth potentials of China's New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http://ir.36kr.com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its business, the Company considers and uses two non-GAAP measures, adjusted net income/(loss) and adjusted EBITDA, as supplemental measures to review and assess its operating performance. The presentation of these two non-GAAP financial measures is not intended to be considered in isolation or as a substitute for the financial information prepared and presented in accordance with U.S. GAAP. The Company presents these non-GAAP financial measures because they are used by the Company’s management to evaluate its operating performance and formulate business plans. The Company also believes that the use of these non-GAAP measures facilitates investors' assessment of its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compensates for these limitations by reconciling these non-GAAP financial measures to the nearest U.S. GAAP performance measure, all of which should be considered when evaluating the Company’s performance. The Company encourages investors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represents net loss excluding share-based compensation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represents adjusted net income/(loss) before interest income, interest expenses, income tax expense/(credit), depreciation of property and equipment and 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these non-GAAP financial measures, please see the table captioned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RMB amounts into U.S. dollars at a specified rate solely for the convenience of the reader. Unless otherwise noted, all translations from Renminbi to U.S. dollars and from U.S. dollars to Renminbi are made at a rate of RMB6.7851 to US$1.00, the exchange rate set forth in the H.10 statistical release of the Federal Reserve Board on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 and strategies; the Company’s future business development, results of operations and financial condition; relevant government policies and regulations relating to our business and industry; the Company’s expectations regarding the use of proceeds from this offering; the Company’s expectations regarding demand for, and market acceptance of, its services; the Company’s ability to maintain and enhance its brand; the Company’s ability to provide high-quality content in a timely manner to attract and retain users; the Company’s ability to retain and hire quality in-house writers and editors; the Company’s ability to maintain cooperation with third-party professional content providers; the Company’s ability to maintain relationship with third-party platforms; general economic and business condition in China; possible disruptions in commercial activities caused by natural or human-induced disasters;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36Kr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(10) 8965-0708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ir@36kr.com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(10) 6508-0677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36Kr@tpg-ir.com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36Kr@tpg-ir.com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7459" w:type="dxa"/>
        <w:jc w:val="left"/>
        <w:tblInd w:w="0" w:type="dxa"/>
        <w:tblLayout w:type="fixed"/>
        <w:tblCellMar>
          <w:top w:w="0" w:type="dxa"/>
          <w:left w:w="0" w:type="dxa"/>
          <w:bottom w:w="0" w:type="dxa"/>
          <w:right w:w="0" w:type="dxa"/>
        </w:tblCellMar>
      </w:tblPr>
      <w:tblGrid>
        <w:gridCol w:w="4070"/>
        <w:gridCol w:w="60"/>
        <w:gridCol w:w="72"/>
        <w:gridCol w:w="1102"/>
        <w:gridCol w:w="80"/>
        <w:gridCol w:w="60"/>
        <w:gridCol w:w="60"/>
        <w:gridCol w:w="905"/>
        <w:gridCol w:w="80"/>
        <w:gridCol w:w="60"/>
        <w:gridCol w:w="60"/>
        <w:gridCol w:w="755"/>
        <w:gridCol w:w="9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189,874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188,612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286,091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42,165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both"/>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156,993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134,701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both"/>
              <w:rPr>
                <w:rFonts w:eastAsia="Times New Roman;Times;Serif"/>
                <w:b/>
                <w:i w:val="false"/>
                <w:caps w:val="false"/>
                <w:smallCaps w:val="false"/>
                <w:sz w:val="20"/>
              </w:rPr>
            </w:pPr>
            <w:r>
              <w:rPr>
                <w:rFonts w:eastAsia="Times New Roman;Times;Serif"/>
                <w:b/>
                <w:i w:val="false"/>
                <w:caps w:val="false"/>
                <w:smallCaps w:val="false"/>
                <w:sz w:val="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eastAsia="Times New Roman;Times;Serif"/>
                <w:b w:val="false"/>
                <w:i w:val="false"/>
                <w:caps w:val="false"/>
                <w:smallCaps w:val="false"/>
                <w:sz w:val="20"/>
              </w:rPr>
            </w:pPr>
            <w:r>
              <w:rPr>
                <w:rFonts w:eastAsia="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2,056,895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303,152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(1,921,092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(1,906,123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36Kr Holdings Inc.’s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42,165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INCOME/(LOSS)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5"/>
        <w:gridCol w:w="60"/>
        <w:gridCol w:w="60"/>
        <w:gridCol w:w="1205"/>
        <w:gridCol w:w="80"/>
        <w:gridCol w:w="60"/>
        <w:gridCol w:w="60"/>
        <w:gridCol w:w="1205"/>
        <w:gridCol w:w="80"/>
        <w:gridCol w:w="60"/>
        <w:gridCol w:w="60"/>
        <w:gridCol w:w="1205"/>
        <w:gridCol w:w="95"/>
      </w:tblGrid>
      <w:tr>
        <w:trPr/>
        <w:tc>
          <w:tcPr>
            <w:tcW w:w="5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b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b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br/>
              <w:t>2026</w:t>
            </w:r>
          </w:p>
        </w:tc>
        <w:tc>
          <w:tcPr>
            <w:tcW w:w="95" w:type="dxa"/>
            <w:tcBorders/>
            <w:vAlign w:val="center"/>
          </w:tcPr>
          <w:p>
            <w:pPr>
              <w:pStyle w:val="TableContents"/>
              <w:bidi w:val="0"/>
              <w:spacing w:before="0" w:after="283"/>
              <w:jc w:val="center"/>
              <w:rPr/>
            </w:pPr>
            <w:r>
              <w:rPr/>
              <w:t> </w:t>
            </w:r>
          </w:p>
        </w:tc>
      </w:tr>
      <w:tr>
        <w:trPr/>
        <w:tc>
          <w:tcPr>
            <w:tcW w:w="59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advertising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124,583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50,697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82,675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(55,859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(8,783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from equity method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disposal of a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 gain/(loss)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before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credit/(expenses)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attributable to 36Kr Holdings Inc.’s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(loss)/income attributable to 36Kr Holdings Inc.’s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per ordinary share (RMB)</w:t>
            </w:r>
          </w:p>
        </w:tc>
        <w:tc>
          <w:tcPr>
            <w:tcW w:w="60"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 per ADS (RMB)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used in per share calculation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1,056,845,184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1,060,391,309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1,060,391,309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1,056,845,184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1,060,720,158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1,060,720,158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 used in per ADS calculation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9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2,120,783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2,120,783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2,113,690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2,121,440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36Kr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290"/>
        <w:gridCol w:w="60"/>
        <w:gridCol w:w="60"/>
        <w:gridCol w:w="845"/>
        <w:gridCol w:w="80"/>
        <w:gridCol w:w="60"/>
        <w:gridCol w:w="60"/>
        <w:gridCol w:w="845"/>
        <w:gridCol w:w="80"/>
        <w:gridCol w:w="60"/>
        <w:gridCol w:w="60"/>
        <w:gridCol w:w="740"/>
        <w:gridCol w:w="95"/>
      </w:tblGrid>
      <w:tr>
        <w:trPr/>
        <w:tc>
          <w:tcPr>
            <w:tcW w:w="3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9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b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June 30, </w:t>
              <w:b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June 30,</w:t>
              <w:br/>
              <w:t>2026</w:t>
            </w:r>
          </w:p>
        </w:tc>
        <w:tc>
          <w:tcPr>
            <w:tcW w:w="95" w:type="dxa"/>
            <w:tcBorders/>
            <w:vAlign w:val="center"/>
          </w:tcPr>
          <w:p>
            <w:pPr>
              <w:pStyle w:val="TableContents"/>
              <w:bidi w:val="0"/>
              <w:spacing w:before="0" w:after="283"/>
              <w:jc w:val="center"/>
              <w:rPr/>
            </w:pPr>
            <w:r>
              <w:rPr/>
              <w:t> </w:t>
            </w:r>
          </w:p>
        </w:tc>
      </w:tr>
      <w:tr>
        <w:trPr/>
        <w:tc>
          <w:tcPr>
            <w:tcW w:w="32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RMB’000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adjusted net (loss)/income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(credit)/expenses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15,866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3294</Words>
  <Characters>18738</Characters>
  <CharactersWithSpaces>22635</CharactersWithSpaces>
  <Paragraphs>1718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