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17, 2026</w:t>
      </w:r>
    </w:p>
    <w:p>
      <w:pPr>
        <w:spacing w:after="0" w:line="30" w:lineRule="exact"/>
        <w:rPr>
          <w:sz w:val="24"/>
          <w:szCs w:val="24"/>
          <w:color w:val="auto"/>
        </w:rPr>
      </w:pPr>
    </w:p>
    <w:p>
      <w:pPr>
        <w:ind w:left="9100"/>
        <w:spacing w:after="0"/>
        <w:rPr>
          <w:sz w:val="20"/>
          <w:szCs w:val="20"/>
          <w:color w:val="auto"/>
        </w:rPr>
      </w:pPr>
      <w:r>
        <w:rPr>
          <w:rFonts w:ascii="Times New Roman" w:cs="Times New Roman" w:eastAsia="Times New Roman" w:hAnsi="Times New Roman"/>
          <w:sz w:val="17"/>
          <w:szCs w:val="17"/>
          <w:b w:val="1"/>
          <w:bCs w:val="1"/>
          <w:color w:val="auto"/>
        </w:rPr>
        <w:t>Registration No. 333-______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45085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55" w:lineRule="exact"/>
        <w:rPr>
          <w:sz w:val="24"/>
          <w:szCs w:val="24"/>
          <w:color w:val="auto"/>
        </w:rPr>
      </w:pPr>
    </w:p>
    <w:tbl>
      <w:tblPr>
        <w:tblLayout w:type="fixed"/>
        <w:tblInd w:w="840" w:type="dxa"/>
        <w:tblCellMar>
          <w:top w:w="0" w:type="dxa"/>
          <w:left w:w="0" w:type="dxa"/>
          <w:bottom w:w="0" w:type="dxa"/>
          <w:right w:w="0" w:type="dxa"/>
        </w:tblCellMar>
      </w:tblPr>
      <w:tr>
        <w:trPr>
          <w:trHeight w:val="294"/>
        </w:trPr>
        <w:tc>
          <w:tcPr>
            <w:tcW w:w="2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40" w:type="dxa"/>
            <w:vAlign w:val="bottom"/>
            <w:gridSpan w:val="2"/>
          </w:tcPr>
          <w:p>
            <w:pPr>
              <w:jc w:val="center"/>
              <w:ind w:right="2931"/>
              <w:spacing w:after="0"/>
              <w:rPr>
                <w:sz w:val="20"/>
                <w:szCs w:val="20"/>
                <w:color w:val="auto"/>
              </w:rPr>
            </w:pPr>
            <w:r>
              <w:rPr>
                <w:rFonts w:ascii="Times New Roman" w:cs="Times New Roman" w:eastAsia="Times New Roman" w:hAnsi="Times New Roman"/>
                <w:sz w:val="25"/>
                <w:szCs w:val="25"/>
                <w:color w:val="auto"/>
                <w:w w:val="97"/>
              </w:rPr>
              <w:t>UNITED STATES</w:t>
            </w:r>
          </w:p>
        </w:tc>
        <w:tc>
          <w:tcPr>
            <w:tcW w:w="0" w:type="dxa"/>
            <w:vAlign w:val="bottom"/>
          </w:tcPr>
          <w:p>
            <w:pPr>
              <w:spacing w:after="0"/>
              <w:rPr>
                <w:sz w:val="1"/>
                <w:szCs w:val="1"/>
                <w:color w:val="auto"/>
              </w:rPr>
            </w:pPr>
          </w:p>
        </w:tc>
      </w:tr>
      <w:tr>
        <w:trPr>
          <w:trHeight w:val="299"/>
        </w:trPr>
        <w:tc>
          <w:tcPr>
            <w:tcW w:w="2200" w:type="dxa"/>
            <w:vAlign w:val="bottom"/>
          </w:tcPr>
          <w:p>
            <w:pPr>
              <w:spacing w:after="0"/>
              <w:rPr>
                <w:sz w:val="24"/>
                <w:szCs w:val="24"/>
                <w:color w:val="auto"/>
              </w:rPr>
            </w:pPr>
          </w:p>
        </w:tc>
        <w:tc>
          <w:tcPr>
            <w:tcW w:w="7020" w:type="dxa"/>
            <w:vAlign w:val="bottom"/>
            <w:gridSpan w:val="3"/>
          </w:tcPr>
          <w:p>
            <w:pPr>
              <w:jc w:val="center"/>
              <w:ind w:right="1751"/>
              <w:spacing w:after="0"/>
              <w:rPr>
                <w:sz w:val="20"/>
                <w:szCs w:val="20"/>
                <w:color w:val="auto"/>
              </w:rPr>
            </w:pPr>
            <w:r>
              <w:rPr>
                <w:rFonts w:ascii="Times New Roman" w:cs="Times New Roman" w:eastAsia="Times New Roman" w:hAnsi="Times New Roman"/>
                <w:sz w:val="25"/>
                <w:szCs w:val="25"/>
                <w:color w:val="auto"/>
                <w:w w:val="99"/>
              </w:rPr>
              <w:t>SECURITIES AND EXCHANGE COMMISSION</w:t>
            </w:r>
          </w:p>
        </w:tc>
        <w:tc>
          <w:tcPr>
            <w:tcW w:w="0" w:type="dxa"/>
            <w:vAlign w:val="bottom"/>
          </w:tcPr>
          <w:p>
            <w:pPr>
              <w:spacing w:after="0"/>
              <w:rPr>
                <w:sz w:val="1"/>
                <w:szCs w:val="1"/>
                <w:color w:val="auto"/>
              </w:rPr>
            </w:pPr>
          </w:p>
        </w:tc>
      </w:tr>
      <w:tr>
        <w:trPr>
          <w:trHeight w:val="233"/>
        </w:trPr>
        <w:tc>
          <w:tcPr>
            <w:tcW w:w="2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840" w:type="dxa"/>
            <w:vAlign w:val="bottom"/>
            <w:gridSpan w:val="2"/>
          </w:tcPr>
          <w:p>
            <w:pPr>
              <w:jc w:val="center"/>
              <w:ind w:right="2951"/>
              <w:spacing w:after="0"/>
              <w:rPr>
                <w:sz w:val="20"/>
                <w:szCs w:val="20"/>
                <w:color w:val="auto"/>
              </w:rPr>
            </w:pPr>
            <w:r>
              <w:rPr>
                <w:rFonts w:ascii="Times New Roman" w:cs="Times New Roman" w:eastAsia="Times New Roman" w:hAnsi="Times New Roman"/>
                <w:sz w:val="18"/>
                <w:szCs w:val="18"/>
                <w:color w:val="auto"/>
                <w:w w:val="98"/>
              </w:rPr>
              <w:t>Washington, D.C. 20549</w:t>
            </w:r>
          </w:p>
        </w:tc>
        <w:tc>
          <w:tcPr>
            <w:tcW w:w="0" w:type="dxa"/>
            <w:vAlign w:val="bottom"/>
          </w:tcPr>
          <w:p>
            <w:pPr>
              <w:spacing w:after="0"/>
              <w:rPr>
                <w:sz w:val="1"/>
                <w:szCs w:val="1"/>
                <w:color w:val="auto"/>
              </w:rPr>
            </w:pPr>
          </w:p>
        </w:tc>
      </w:tr>
      <w:tr>
        <w:trPr>
          <w:trHeight w:val="320"/>
        </w:trPr>
        <w:tc>
          <w:tcPr>
            <w:tcW w:w="2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2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40" w:type="dxa"/>
            <w:vAlign w:val="bottom"/>
            <w:gridSpan w:val="2"/>
          </w:tcPr>
          <w:p>
            <w:pPr>
              <w:jc w:val="center"/>
              <w:ind w:right="2951"/>
              <w:spacing w:after="0"/>
              <w:rPr>
                <w:sz w:val="20"/>
                <w:szCs w:val="20"/>
                <w:color w:val="auto"/>
              </w:rPr>
            </w:pPr>
            <w:r>
              <w:rPr>
                <w:rFonts w:ascii="Times New Roman" w:cs="Times New Roman" w:eastAsia="Times New Roman" w:hAnsi="Times New Roman"/>
                <w:sz w:val="25"/>
                <w:szCs w:val="25"/>
                <w:color w:val="auto"/>
              </w:rPr>
              <w:t>FORM S-8</w:t>
            </w:r>
          </w:p>
        </w:tc>
        <w:tc>
          <w:tcPr>
            <w:tcW w:w="0" w:type="dxa"/>
            <w:vAlign w:val="bottom"/>
          </w:tcPr>
          <w:p>
            <w:pPr>
              <w:spacing w:after="0"/>
              <w:rPr>
                <w:sz w:val="1"/>
                <w:szCs w:val="1"/>
                <w:color w:val="auto"/>
              </w:rPr>
            </w:pPr>
          </w:p>
        </w:tc>
      </w:tr>
      <w:tr>
        <w:trPr>
          <w:trHeight w:val="258"/>
        </w:trPr>
        <w:tc>
          <w:tcPr>
            <w:tcW w:w="2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820" w:type="dxa"/>
            <w:vAlign w:val="bottom"/>
            <w:tcBorders>
              <w:bottom w:val="single" w:sz="8" w:color="auto"/>
            </w:tcBorders>
          </w:tcPr>
          <w:p>
            <w:pPr>
              <w:spacing w:after="0"/>
              <w:rPr>
                <w:sz w:val="22"/>
                <w:szCs w:val="22"/>
                <w:color w:val="auto"/>
              </w:rPr>
            </w:pPr>
          </w:p>
        </w:tc>
        <w:tc>
          <w:tcPr>
            <w:tcW w:w="3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3"/>
        </w:trPr>
        <w:tc>
          <w:tcPr>
            <w:tcW w:w="2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40" w:type="dxa"/>
            <w:vAlign w:val="bottom"/>
            <w:gridSpan w:val="2"/>
          </w:tcPr>
          <w:p>
            <w:pPr>
              <w:jc w:val="center"/>
              <w:ind w:right="2931"/>
              <w:spacing w:after="0"/>
              <w:rPr>
                <w:sz w:val="20"/>
                <w:szCs w:val="20"/>
                <w:color w:val="auto"/>
              </w:rPr>
            </w:pPr>
            <w:r>
              <w:rPr>
                <w:rFonts w:ascii="Times New Roman" w:cs="Times New Roman" w:eastAsia="Times New Roman" w:hAnsi="Times New Roman"/>
                <w:sz w:val="18"/>
                <w:szCs w:val="18"/>
                <w:color w:val="auto"/>
                <w:w w:val="96"/>
              </w:rPr>
              <w:t>REGISTRATION STATEMENT</w:t>
            </w:r>
          </w:p>
        </w:tc>
        <w:tc>
          <w:tcPr>
            <w:tcW w:w="0" w:type="dxa"/>
            <w:vAlign w:val="bottom"/>
          </w:tcPr>
          <w:p>
            <w:pPr>
              <w:spacing w:after="0"/>
              <w:rPr>
                <w:sz w:val="1"/>
                <w:szCs w:val="1"/>
                <w:color w:val="auto"/>
              </w:rPr>
            </w:pPr>
          </w:p>
        </w:tc>
      </w:tr>
      <w:tr>
        <w:trPr>
          <w:trHeight w:val="214"/>
        </w:trPr>
        <w:tc>
          <w:tcPr>
            <w:tcW w:w="2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40" w:type="dxa"/>
            <w:vAlign w:val="bottom"/>
            <w:gridSpan w:val="2"/>
          </w:tcPr>
          <w:p>
            <w:pPr>
              <w:jc w:val="center"/>
              <w:ind w:right="2931"/>
              <w:spacing w:after="0"/>
              <w:rPr>
                <w:sz w:val="20"/>
                <w:szCs w:val="20"/>
                <w:color w:val="auto"/>
              </w:rPr>
            </w:pPr>
            <w:r>
              <w:rPr>
                <w:rFonts w:ascii="Times New Roman" w:cs="Times New Roman" w:eastAsia="Times New Roman" w:hAnsi="Times New Roman"/>
                <w:sz w:val="18"/>
                <w:szCs w:val="18"/>
                <w:color w:val="auto"/>
                <w:w w:val="99"/>
              </w:rPr>
              <w:t>UNDER</w:t>
            </w:r>
          </w:p>
        </w:tc>
        <w:tc>
          <w:tcPr>
            <w:tcW w:w="0" w:type="dxa"/>
            <w:vAlign w:val="bottom"/>
          </w:tcPr>
          <w:p>
            <w:pPr>
              <w:spacing w:after="0"/>
              <w:rPr>
                <w:sz w:val="1"/>
                <w:szCs w:val="1"/>
                <w:color w:val="auto"/>
              </w:rPr>
            </w:pPr>
          </w:p>
        </w:tc>
      </w:tr>
      <w:tr>
        <w:trPr>
          <w:trHeight w:val="233"/>
        </w:trPr>
        <w:tc>
          <w:tcPr>
            <w:tcW w:w="2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840" w:type="dxa"/>
            <w:vAlign w:val="bottom"/>
            <w:gridSpan w:val="2"/>
          </w:tcPr>
          <w:p>
            <w:pPr>
              <w:jc w:val="center"/>
              <w:ind w:right="2951"/>
              <w:spacing w:after="0"/>
              <w:rPr>
                <w:sz w:val="20"/>
                <w:szCs w:val="20"/>
                <w:color w:val="auto"/>
              </w:rPr>
            </w:pPr>
            <w:r>
              <w:rPr>
                <w:rFonts w:ascii="Times New Roman" w:cs="Times New Roman" w:eastAsia="Times New Roman" w:hAnsi="Times New Roman"/>
                <w:sz w:val="18"/>
                <w:szCs w:val="18"/>
                <w:color w:val="auto"/>
                <w:w w:val="99"/>
              </w:rPr>
              <w:t>THE SECURITIES ACT OF 1933</w:t>
            </w:r>
          </w:p>
        </w:tc>
        <w:tc>
          <w:tcPr>
            <w:tcW w:w="0" w:type="dxa"/>
            <w:vAlign w:val="bottom"/>
          </w:tcPr>
          <w:p>
            <w:pPr>
              <w:spacing w:after="0"/>
              <w:rPr>
                <w:sz w:val="1"/>
                <w:szCs w:val="1"/>
                <w:color w:val="auto"/>
              </w:rPr>
            </w:pPr>
          </w:p>
        </w:tc>
      </w:tr>
      <w:tr>
        <w:trPr>
          <w:trHeight w:val="267"/>
        </w:trPr>
        <w:tc>
          <w:tcPr>
            <w:tcW w:w="2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20" w:type="dxa"/>
            <w:vAlign w:val="bottom"/>
            <w:tcBorders>
              <w:bottom w:val="single" w:sz="8" w:color="auto"/>
            </w:tcBorders>
          </w:tcPr>
          <w:p>
            <w:pPr>
              <w:spacing w:after="0"/>
              <w:rPr>
                <w:sz w:val="23"/>
                <w:szCs w:val="23"/>
                <w:color w:val="auto"/>
              </w:rPr>
            </w:pPr>
          </w:p>
        </w:tc>
        <w:tc>
          <w:tcPr>
            <w:tcW w:w="3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9"/>
        </w:trPr>
        <w:tc>
          <w:tcPr>
            <w:tcW w:w="2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40" w:type="dxa"/>
            <w:vAlign w:val="bottom"/>
            <w:gridSpan w:val="2"/>
          </w:tcPr>
          <w:p>
            <w:pPr>
              <w:jc w:val="center"/>
              <w:ind w:right="2951"/>
              <w:spacing w:after="0"/>
              <w:rPr>
                <w:sz w:val="20"/>
                <w:szCs w:val="20"/>
                <w:color w:val="auto"/>
              </w:rPr>
            </w:pPr>
            <w:r>
              <w:rPr>
                <w:rFonts w:ascii="Times New Roman" w:cs="Times New Roman" w:eastAsia="Times New Roman" w:hAnsi="Times New Roman"/>
                <w:sz w:val="25"/>
                <w:szCs w:val="25"/>
                <w:b w:val="1"/>
                <w:bCs w:val="1"/>
                <w:color w:val="auto"/>
                <w:w w:val="99"/>
              </w:rPr>
              <w:t>36Kr Holdings Inc.</w:t>
            </w:r>
          </w:p>
        </w:tc>
        <w:tc>
          <w:tcPr>
            <w:tcW w:w="0" w:type="dxa"/>
            <w:vAlign w:val="bottom"/>
          </w:tcPr>
          <w:p>
            <w:pPr>
              <w:spacing w:after="0"/>
              <w:rPr>
                <w:sz w:val="1"/>
                <w:szCs w:val="1"/>
                <w:color w:val="auto"/>
              </w:rPr>
            </w:pPr>
          </w:p>
        </w:tc>
      </w:tr>
      <w:tr>
        <w:trPr>
          <w:trHeight w:val="233"/>
        </w:trPr>
        <w:tc>
          <w:tcPr>
            <w:tcW w:w="2200" w:type="dxa"/>
            <w:vAlign w:val="bottom"/>
          </w:tcPr>
          <w:p>
            <w:pPr>
              <w:spacing w:after="0"/>
              <w:rPr>
                <w:sz w:val="20"/>
                <w:szCs w:val="20"/>
                <w:color w:val="auto"/>
              </w:rPr>
            </w:pPr>
          </w:p>
        </w:tc>
        <w:tc>
          <w:tcPr>
            <w:tcW w:w="7020" w:type="dxa"/>
            <w:vAlign w:val="bottom"/>
            <w:gridSpan w:val="3"/>
          </w:tcPr>
          <w:p>
            <w:pPr>
              <w:jc w:val="center"/>
              <w:ind w:right="1771"/>
              <w:spacing w:after="0"/>
              <w:rPr>
                <w:sz w:val="20"/>
                <w:szCs w:val="20"/>
                <w:color w:val="auto"/>
              </w:rPr>
            </w:pPr>
            <w:r>
              <w:rPr>
                <w:rFonts w:ascii="Times New Roman" w:cs="Times New Roman" w:eastAsia="Times New Roman" w:hAnsi="Times New Roman"/>
                <w:sz w:val="18"/>
                <w:szCs w:val="18"/>
                <w:color w:val="auto"/>
                <w:w w:val="98"/>
              </w:rPr>
              <w:t>(Exact name of registrant as specified in its charter)</w:t>
            </w:r>
          </w:p>
        </w:tc>
        <w:tc>
          <w:tcPr>
            <w:tcW w:w="0" w:type="dxa"/>
            <w:vAlign w:val="bottom"/>
          </w:tcPr>
          <w:p>
            <w:pPr>
              <w:spacing w:after="0"/>
              <w:rPr>
                <w:sz w:val="1"/>
                <w:szCs w:val="1"/>
                <w:color w:val="auto"/>
              </w:rPr>
            </w:pPr>
          </w:p>
        </w:tc>
      </w:tr>
      <w:tr>
        <w:trPr>
          <w:trHeight w:val="267"/>
        </w:trPr>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1180" w:type="dxa"/>
            <w:vAlign w:val="bottom"/>
          </w:tcPr>
          <w:p>
            <w:pPr>
              <w:spacing w:after="0"/>
              <w:rPr>
                <w:sz w:val="23"/>
                <w:szCs w:val="23"/>
                <w:color w:val="auto"/>
              </w:rPr>
            </w:pPr>
          </w:p>
        </w:tc>
        <w:tc>
          <w:tcPr>
            <w:tcW w:w="2820" w:type="dxa"/>
            <w:vAlign w:val="bottom"/>
            <w:tcBorders>
              <w:bottom w:val="single" w:sz="8" w:color="auto"/>
            </w:tcBorders>
          </w:tcPr>
          <w:p>
            <w:pPr>
              <w:spacing w:after="0"/>
              <w:rPr>
                <w:sz w:val="23"/>
                <w:szCs w:val="23"/>
                <w:color w:val="auto"/>
              </w:rPr>
            </w:pPr>
          </w:p>
        </w:tc>
        <w:tc>
          <w:tcPr>
            <w:tcW w:w="3020" w:type="dxa"/>
            <w:vAlign w:val="bottom"/>
            <w:vMerge w:val="restart"/>
          </w:tcPr>
          <w:p>
            <w:pPr>
              <w:jc w:val="center"/>
              <w:ind w:left="1591"/>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0" w:type="dxa"/>
            <w:vAlign w:val="bottom"/>
          </w:tcPr>
          <w:p>
            <w:pPr>
              <w:spacing w:after="0"/>
              <w:rPr>
                <w:sz w:val="1"/>
                <w:szCs w:val="1"/>
                <w:color w:val="auto"/>
              </w:rPr>
            </w:pPr>
          </w:p>
        </w:tc>
      </w:tr>
      <w:tr>
        <w:trPr>
          <w:trHeight w:val="469"/>
        </w:trPr>
        <w:tc>
          <w:tcPr>
            <w:tcW w:w="220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1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020" w:type="dxa"/>
            <w:vAlign w:val="bottom"/>
          </w:tcPr>
          <w:p>
            <w:pPr>
              <w:jc w:val="center"/>
              <w:ind w:left="1591"/>
              <w:spacing w:after="0"/>
              <w:rPr>
                <w:sz w:val="20"/>
                <w:szCs w:val="20"/>
                <w:color w:val="auto"/>
              </w:rPr>
            </w:pPr>
            <w:r>
              <w:rPr>
                <w:rFonts w:ascii="Times New Roman" w:cs="Times New Roman" w:eastAsia="Times New Roman" w:hAnsi="Times New Roman"/>
                <w:sz w:val="18"/>
                <w:szCs w:val="18"/>
                <w:color w:val="auto"/>
                <w:w w:val="99"/>
              </w:rPr>
              <w:t>(I.R.S. Employer</w:t>
            </w:r>
          </w:p>
        </w:tc>
        <w:tc>
          <w:tcPr>
            <w:tcW w:w="0" w:type="dxa"/>
            <w:vAlign w:val="bottom"/>
          </w:tcPr>
          <w:p>
            <w:pPr>
              <w:spacing w:after="0"/>
              <w:rPr>
                <w:sz w:val="1"/>
                <w:szCs w:val="1"/>
                <w:color w:val="auto"/>
              </w:rPr>
            </w:pPr>
          </w:p>
        </w:tc>
      </w:tr>
      <w:tr>
        <w:trPr>
          <w:trHeight w:val="233"/>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incorporation or organization)</w:t>
            </w:r>
          </w:p>
        </w:tc>
        <w:tc>
          <w:tcPr>
            <w:tcW w:w="11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020" w:type="dxa"/>
            <w:vAlign w:val="bottom"/>
          </w:tcPr>
          <w:p>
            <w:pPr>
              <w:jc w:val="center"/>
              <w:ind w:left="1591"/>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bl>
    <w:p>
      <w:pPr>
        <w:spacing w:after="0" w:line="218"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Building B6, Universal Business Park,</w:t>
      </w:r>
    </w:p>
    <w:p>
      <w:pPr>
        <w:spacing w:after="0" w:line="30"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No. 10 Jiuxianqiao Road,</w:t>
      </w:r>
    </w:p>
    <w:p>
      <w:pPr>
        <w:spacing w:after="0" w:line="7"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Chaoyang District, Beijing, 100015, People’s Republic of China</w:t>
      </w:r>
    </w:p>
    <w:p>
      <w:pPr>
        <w:spacing w:after="0" w:line="7"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+86 10 8965-0708</w:t>
      </w:r>
    </w:p>
    <w:p>
      <w:pPr>
        <w:spacing w:after="0" w:line="7"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190500</wp:posOffset>
            </wp:positionV>
            <wp:extent cx="1790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2019 Share Incentive Plan</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173355</wp:posOffset>
            </wp:positionV>
            <wp:extent cx="17900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NY 10168</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+1 800-221-0102</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173355</wp:posOffset>
            </wp:positionV>
            <wp:extent cx="17900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tbl>
      <w:tblPr>
        <w:tblLayout w:type="fixed"/>
        <w:tblInd w:w="560" w:type="dxa"/>
        <w:tblCellMar>
          <w:top w:w="0" w:type="dxa"/>
          <w:left w:w="0" w:type="dxa"/>
          <w:bottom w:w="0" w:type="dxa"/>
          <w:right w:w="0" w:type="dxa"/>
        </w:tblCellMar>
      </w:tblPr>
      <w:tr>
        <w:trPr>
          <w:trHeight w:val="237"/>
        </w:trPr>
        <w:tc>
          <w:tcPr>
            <w:tcW w:w="4640" w:type="dxa"/>
            <w:vAlign w:val="bottom"/>
          </w:tcPr>
          <w:p>
            <w:pPr>
              <w:spacing w:after="0"/>
              <w:rPr>
                <w:sz w:val="20"/>
                <w:szCs w:val="20"/>
                <w:color w:val="auto"/>
              </w:rPr>
            </w:pPr>
          </w:p>
        </w:tc>
        <w:tc>
          <w:tcPr>
            <w:tcW w:w="4460" w:type="dxa"/>
            <w:vAlign w:val="bottom"/>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409"/>
        </w:trPr>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Xiang Li</w:t>
            </w:r>
          </w:p>
        </w:tc>
        <w:tc>
          <w:tcPr>
            <w:tcW w:w="4460" w:type="dxa"/>
            <w:vAlign w:val="bottom"/>
          </w:tcPr>
          <w:p>
            <w:pPr>
              <w:jc w:val="center"/>
              <w:ind w:left="2152"/>
              <w:spacing w:after="0"/>
              <w:rPr>
                <w:sz w:val="20"/>
                <w:szCs w:val="20"/>
                <w:color w:val="auto"/>
              </w:rPr>
            </w:pPr>
            <w:r>
              <w:rPr>
                <w:rFonts w:ascii="Times New Roman" w:cs="Times New Roman" w:eastAsia="Times New Roman" w:hAnsi="Times New Roman"/>
                <w:sz w:val="18"/>
                <w:szCs w:val="18"/>
                <w:b w:val="1"/>
                <w:bCs w:val="1"/>
                <w:color w:val="auto"/>
                <w:w w:val="99"/>
              </w:rPr>
              <w:t>Li He, Esq.</w:t>
            </w:r>
          </w:p>
        </w:tc>
      </w:tr>
      <w:tr>
        <w:trPr>
          <w:trHeight w:val="214"/>
        </w:trPr>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4460" w:type="dxa"/>
            <w:vAlign w:val="bottom"/>
          </w:tcPr>
          <w:p>
            <w:pPr>
              <w:jc w:val="center"/>
              <w:ind w:left="2152"/>
              <w:spacing w:after="0"/>
              <w:rPr>
                <w:sz w:val="20"/>
                <w:szCs w:val="20"/>
                <w:color w:val="auto"/>
              </w:rPr>
            </w:pPr>
            <w:r>
              <w:rPr>
                <w:rFonts w:ascii="Times New Roman" w:cs="Times New Roman" w:eastAsia="Times New Roman" w:hAnsi="Times New Roman"/>
                <w:sz w:val="18"/>
                <w:szCs w:val="18"/>
                <w:color w:val="auto"/>
                <w:w w:val="98"/>
              </w:rPr>
              <w:t>Davis Polk &amp; Wardwell LLP</w:t>
            </w:r>
          </w:p>
        </w:tc>
      </w:tr>
      <w:tr>
        <w:trPr>
          <w:trHeight w:val="219"/>
        </w:trPr>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Building B6, Universal Business Park,</w:t>
            </w:r>
          </w:p>
        </w:tc>
        <w:tc>
          <w:tcPr>
            <w:tcW w:w="4460" w:type="dxa"/>
            <w:vAlign w:val="bottom"/>
          </w:tcPr>
          <w:p>
            <w:pPr>
              <w:jc w:val="center"/>
              <w:ind w:left="2152"/>
              <w:spacing w:after="0" w:line="219" w:lineRule="exact"/>
              <w:rPr>
                <w:sz w:val="20"/>
                <w:szCs w:val="20"/>
                <w:color w:val="auto"/>
              </w:rPr>
            </w:pPr>
            <w:r>
              <w:rPr>
                <w:rFonts w:ascii="Times New Roman" w:cs="Times New Roman" w:eastAsia="Times New Roman" w:hAnsi="Times New Roman"/>
                <w:sz w:val="16"/>
                <w:szCs w:val="16"/>
                <w:color w:val="auto"/>
              </w:rPr>
              <w:t>c/o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Floor, The Hong Kong</w:t>
            </w:r>
          </w:p>
        </w:tc>
      </w:tr>
      <w:tr>
        <w:trPr>
          <w:trHeight w:val="214"/>
        </w:trPr>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 10 Jiuxianqiao Road,</w:t>
            </w:r>
          </w:p>
        </w:tc>
        <w:tc>
          <w:tcPr>
            <w:tcW w:w="4460" w:type="dxa"/>
            <w:vAlign w:val="bottom"/>
          </w:tcPr>
          <w:p>
            <w:pPr>
              <w:jc w:val="center"/>
              <w:ind w:left="2152"/>
              <w:spacing w:after="0"/>
              <w:rPr>
                <w:sz w:val="20"/>
                <w:szCs w:val="20"/>
                <w:color w:val="auto"/>
              </w:rPr>
            </w:pPr>
            <w:r>
              <w:rPr>
                <w:rFonts w:ascii="Times New Roman" w:cs="Times New Roman" w:eastAsia="Times New Roman" w:hAnsi="Times New Roman"/>
                <w:sz w:val="18"/>
                <w:szCs w:val="18"/>
                <w:color w:val="auto"/>
                <w:w w:val="99"/>
              </w:rPr>
              <w:t>Club Building</w:t>
            </w:r>
          </w:p>
        </w:tc>
      </w:tr>
      <w:tr>
        <w:trPr>
          <w:trHeight w:val="214"/>
        </w:trPr>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Chaoyang District, Beijing, 100015, People’s Republic of China</w:t>
            </w:r>
          </w:p>
        </w:tc>
        <w:tc>
          <w:tcPr>
            <w:tcW w:w="4460" w:type="dxa"/>
            <w:vAlign w:val="bottom"/>
          </w:tcPr>
          <w:p>
            <w:pPr>
              <w:jc w:val="center"/>
              <w:ind w:left="2152"/>
              <w:spacing w:after="0"/>
              <w:rPr>
                <w:sz w:val="20"/>
                <w:szCs w:val="20"/>
                <w:color w:val="auto"/>
              </w:rPr>
            </w:pPr>
            <w:r>
              <w:rPr>
                <w:rFonts w:ascii="Times New Roman" w:cs="Times New Roman" w:eastAsia="Times New Roman" w:hAnsi="Times New Roman"/>
                <w:sz w:val="18"/>
                <w:szCs w:val="18"/>
                <w:color w:val="auto"/>
                <w:w w:val="99"/>
              </w:rPr>
              <w:t>3A Chater Road, Central</w:t>
            </w:r>
          </w:p>
        </w:tc>
      </w:tr>
      <w:tr>
        <w:trPr>
          <w:trHeight w:val="249"/>
        </w:trPr>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 10 8965-0708</w:t>
            </w:r>
          </w:p>
        </w:tc>
        <w:tc>
          <w:tcPr>
            <w:tcW w:w="4460" w:type="dxa"/>
            <w:vAlign w:val="bottom"/>
          </w:tcPr>
          <w:p>
            <w:pPr>
              <w:jc w:val="center"/>
              <w:ind w:left="2152"/>
              <w:spacing w:after="0"/>
              <w:rPr>
                <w:sz w:val="20"/>
                <w:szCs w:val="20"/>
                <w:color w:val="auto"/>
              </w:rPr>
            </w:pPr>
            <w:r>
              <w:rPr>
                <w:rFonts w:ascii="Times New Roman" w:cs="Times New Roman" w:eastAsia="Times New Roman" w:hAnsi="Times New Roman"/>
                <w:sz w:val="18"/>
                <w:szCs w:val="18"/>
                <w:color w:val="auto"/>
                <w:w w:val="96"/>
              </w:rPr>
              <w:t>Hong Kong</w:t>
            </w:r>
          </w:p>
        </w:tc>
      </w:tr>
      <w:tr>
        <w:trPr>
          <w:trHeight w:val="233"/>
        </w:trPr>
        <w:tc>
          <w:tcPr>
            <w:tcW w:w="4640" w:type="dxa"/>
            <w:vAlign w:val="bottom"/>
          </w:tcPr>
          <w:p>
            <w:pPr>
              <w:spacing w:after="0"/>
              <w:rPr>
                <w:sz w:val="20"/>
                <w:szCs w:val="20"/>
                <w:color w:val="auto"/>
              </w:rPr>
            </w:pPr>
          </w:p>
        </w:tc>
        <w:tc>
          <w:tcPr>
            <w:tcW w:w="4460" w:type="dxa"/>
            <w:vAlign w:val="bottom"/>
          </w:tcPr>
          <w:p>
            <w:pPr>
              <w:jc w:val="center"/>
              <w:ind w:left="2112"/>
              <w:spacing w:after="0"/>
              <w:rPr>
                <w:sz w:val="20"/>
                <w:szCs w:val="20"/>
                <w:color w:val="auto"/>
              </w:rPr>
            </w:pPr>
            <w:r>
              <w:rPr>
                <w:rFonts w:ascii="Times New Roman" w:cs="Times New Roman" w:eastAsia="Times New Roman" w:hAnsi="Times New Roman"/>
                <w:sz w:val="18"/>
                <w:szCs w:val="18"/>
                <w:color w:val="auto"/>
                <w:w w:val="98"/>
              </w:rPr>
              <w:t>+852 2533-3300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186055</wp:posOffset>
            </wp:positionV>
            <wp:extent cx="17900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200" w:lineRule="exact"/>
        <w:rPr>
          <w:sz w:val="24"/>
          <w:szCs w:val="24"/>
          <w:color w:val="auto"/>
        </w:rPr>
      </w:pPr>
    </w:p>
    <w:p>
      <w:pPr>
        <w:spacing w:after="0" w:line="389" w:lineRule="exact"/>
        <w:rPr>
          <w:sz w:val="24"/>
          <w:szCs w:val="24"/>
          <w:color w:val="auto"/>
        </w:rPr>
      </w:pPr>
    </w:p>
    <w:p>
      <w:pPr>
        <w:ind w:right="20" w:firstLine="321"/>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64" w:right="339" w:bottom="463" w:gutter="0" w:footer="0" w:header="0"/>
        </w:sectPr>
      </w:pPr>
    </w:p>
    <w:p>
      <w:pPr>
        <w:spacing w:after="0" w:line="136" w:lineRule="exact"/>
        <w:rPr>
          <w:sz w:val="24"/>
          <w:szCs w:val="24"/>
          <w:color w:val="auto"/>
        </w:rPr>
      </w:pPr>
    </w:p>
    <w:p>
      <w:pPr>
        <w:ind w:left="32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67" w:lineRule="exact"/>
        <w:rPr>
          <w:sz w:val="24"/>
          <w:szCs w:val="24"/>
          <w:color w:val="auto"/>
        </w:rPr>
      </w:pPr>
    </w:p>
    <w:p>
      <w:pPr>
        <w:ind w:left="32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1" w:lineRule="exact"/>
        <w:rPr>
          <w:sz w:val="24"/>
          <w:szCs w:val="24"/>
          <w:color w:val="auto"/>
        </w:rPr>
      </w:pPr>
    </w:p>
    <w:p>
      <w:pPr>
        <w:sectPr>
          <w:pgSz w:w="11900" w:h="16838" w:orient="portrait"/>
          <w:cols w:equalWidth="0" w:num="3">
            <w:col w:w="6480" w:space="720"/>
            <w:col w:w="1960" w:space="80"/>
            <w:col w:w="2000"/>
          </w:cols>
          <w:pgMar w:left="320" w:top="464" w:right="339" w:bottom="463" w:gutter="0" w:footer="0" w:header="0"/>
          <w:type w:val="continuous"/>
        </w:sectPr>
      </w:pPr>
    </w:p>
    <w:p>
      <w:pPr>
        <w:spacing w:after="0" w:line="6" w:lineRule="exact"/>
        <w:rPr>
          <w:sz w:val="24"/>
          <w:szCs w:val="24"/>
          <w:color w:val="auto"/>
        </w:rPr>
      </w:pPr>
    </w:p>
    <w:p>
      <w:pPr>
        <w:ind w:left="720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1" w:lineRule="exact"/>
        <w:rPr>
          <w:sz w:val="24"/>
          <w:szCs w:val="24"/>
          <w:color w:val="auto"/>
        </w:rPr>
      </w:pPr>
    </w:p>
    <w:p>
      <w:pPr>
        <w:sectPr>
          <w:pgSz w:w="11900" w:h="16838" w:orient="portrait"/>
          <w:cols w:equalWidth="0" w:num="2">
            <w:col w:w="9160" w:space="80"/>
            <w:col w:w="2000"/>
          </w:cols>
          <w:pgMar w:left="320" w:top="464" w:right="339" w:bottom="463" w:gutter="0" w:footer="0" w:header="0"/>
          <w:type w:val="continuous"/>
        </w:sectPr>
      </w:pPr>
    </w:p>
    <w:p>
      <w:pPr>
        <w:spacing w:after="0" w:line="85" w:lineRule="exact"/>
        <w:rPr>
          <w:sz w:val="24"/>
          <w:szCs w:val="24"/>
          <w:color w:val="auto"/>
        </w:rPr>
      </w:pPr>
    </w:p>
    <w:p>
      <w:pPr>
        <w:ind w:right="8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3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177165</wp:posOffset>
            </wp:positionV>
            <wp:extent cx="71335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482600</wp:posOffset>
            </wp:positionV>
            <wp:extent cx="71335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464" w:right="339" w:bottom="463" w:gutter="0" w:footer="0" w:header="0"/>
          <w:type w:val="continuous"/>
        </w:sectPr>
      </w:pPr>
    </w:p>
    <w:bookmarkStart w:id="1" w:name="page2"/>
    <w:bookmarkEnd w:id="1"/>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Registration Statement on Form S-8 is being filed for the purpose of registering an additional 159,370,000 Class A ordinary shares, par value</w:t>
      </w:r>
    </w:p>
    <w:p>
      <w:pPr>
        <w:spacing w:after="0" w:line="2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US$0.0001 per share, of the Registrant, that are issuable under the Registrant’s 2019 Share Incentive Plan. These Class A ordinary shares are additional securities of the same class as other securities for which a registration statement (File No. 333-235747) on Form S-8 relating to the 2019 Share Incentive Plan was filed with the Securities and Exchange Commission (the “Commission”) on December 30, 2019. Pursuant to General Instruction E to Form S-8, the contents of such earlier registration statements are incorporated by reference into this Registration Statement.</w:t>
      </w:r>
    </w:p>
    <w:p>
      <w:pPr>
        <w:spacing w:after="0" w:line="1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documents previously filed with the Commission by the Registrant are incorporated herein by reference.</w:t>
      </w:r>
    </w:p>
    <w:p>
      <w:pPr>
        <w:spacing w:after="0" w:line="220" w:lineRule="exact"/>
        <w:rPr>
          <w:sz w:val="20"/>
          <w:szCs w:val="20"/>
          <w:color w:val="auto"/>
        </w:rPr>
      </w:pPr>
    </w:p>
    <w:p>
      <w:pPr>
        <w:ind w:left="320" w:right="20" w:firstLine="7"/>
        <w:spacing w:after="0" w:line="277" w:lineRule="auto"/>
        <w:tabs>
          <w:tab w:leader="none" w:pos="92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7">
        <w:r>
          <w:rPr>
            <w:rFonts w:ascii="Times New Roman" w:cs="Times New Roman" w:eastAsia="Times New Roman" w:hAnsi="Times New Roman"/>
            <w:sz w:val="18"/>
            <w:szCs w:val="18"/>
            <w:u w:val="single" w:color="auto"/>
            <w:color w:val="0000EE"/>
          </w:rPr>
          <w:t>Form 20-F for the fiscal year ended December 31, 2025 (File No. 001-39117) filed on April 23,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pursuant to Section 13(a) of the Securities Exchange Act of 1934, as amended (the “Exchange Act”); and</w:t>
      </w:r>
    </w:p>
    <w:p>
      <w:pPr>
        <w:spacing w:after="0" w:line="163" w:lineRule="exact"/>
        <w:rPr>
          <w:rFonts w:ascii="Times New Roman" w:cs="Times New Roman" w:eastAsia="Times New Roman" w:hAnsi="Times New Roman"/>
          <w:sz w:val="18"/>
          <w:szCs w:val="18"/>
          <w:color w:val="auto"/>
        </w:rPr>
      </w:pPr>
    </w:p>
    <w:p>
      <w:pPr>
        <w:ind w:left="320" w:right="100" w:firstLine="7"/>
        <w:spacing w:after="0" w:line="308" w:lineRule="auto"/>
        <w:tabs>
          <w:tab w:leader="none" w:pos="836" w:val="left"/>
        </w:tabs>
        <w:numPr>
          <w:ilvl w:val="0"/>
          <w:numId w:val="1"/>
        </w:numPr>
        <w:rPr>
          <w:rFonts w:ascii="Times New Roman" w:cs="Times New Roman" w:eastAsia="Times New Roman" w:hAnsi="Times New Roman"/>
          <w:sz w:val="17"/>
          <w:szCs w:val="17"/>
          <w:color w:val="0000EE"/>
        </w:rPr>
      </w:pPr>
      <w:hyperlink r:id="rId18">
        <w:r>
          <w:rPr>
            <w:rFonts w:ascii="Times New Roman" w:cs="Times New Roman" w:eastAsia="Times New Roman" w:hAnsi="Times New Roman"/>
            <w:sz w:val="17"/>
            <w:szCs w:val="17"/>
            <w:color w:val="auto"/>
          </w:rPr>
          <w:t xml:space="preserve">The description of the Registrant’s Class A ordinary shares contained in the Registrant’s registration statement on </w:t>
        </w:r>
        <w:r>
          <w:rPr>
            <w:rFonts w:ascii="Times New Roman" w:cs="Times New Roman" w:eastAsia="Times New Roman" w:hAnsi="Times New Roman"/>
            <w:sz w:val="17"/>
            <w:szCs w:val="17"/>
            <w:u w:val="single" w:color="auto"/>
            <w:color w:val="0000EE"/>
          </w:rPr>
          <w:t>Form 8-A under the Exchange</w:t>
        </w:r>
      </w:hyperlink>
      <w:r>
        <w:rPr>
          <w:rFonts w:ascii="Times New Roman" w:cs="Times New Roman" w:eastAsia="Times New Roman" w:hAnsi="Times New Roman"/>
          <w:sz w:val="17"/>
          <w:szCs w:val="17"/>
          <w:color w:val="auto"/>
        </w:rPr>
        <w:t xml:space="preserve"> </w:t>
      </w:r>
      <w:hyperlink r:id="rId18">
        <w:r>
          <w:rPr>
            <w:rFonts w:ascii="Times New Roman" w:cs="Times New Roman" w:eastAsia="Times New Roman" w:hAnsi="Times New Roman"/>
            <w:sz w:val="17"/>
            <w:szCs w:val="17"/>
            <w:u w:val="single" w:color="auto"/>
            <w:color w:val="0000EE"/>
          </w:rPr>
          <w:t>Act filed on November 1, 2019</w:t>
        </w:r>
        <w:r>
          <w:rPr>
            <w:rFonts w:ascii="Times New Roman" w:cs="Times New Roman" w:eastAsia="Times New Roman" w:hAnsi="Times New Roman"/>
            <w:sz w:val="17"/>
            <w:szCs w:val="17"/>
            <w:color w:val="000000"/>
          </w:rPr>
          <w:t>, as modified by any amendment or report filed for the purpose of updating such description (File No. 001-39117).</w:t>
        </w:r>
      </w:hyperlink>
    </w:p>
    <w:p>
      <w:pPr>
        <w:spacing w:after="0" w:line="139" w:lineRule="exact"/>
        <w:rPr>
          <w:rFonts w:ascii="Times New Roman" w:cs="Times New Roman" w:eastAsia="Times New Roman" w:hAnsi="Times New Roman"/>
          <w:sz w:val="17"/>
          <w:szCs w:val="17"/>
          <w:color w:val="auto"/>
        </w:rPr>
      </w:pPr>
    </w:p>
    <w:p>
      <w:pPr>
        <w:ind w:right="60" w:firstLine="321"/>
        <w:spacing w:after="0" w:line="257"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or 15(d) of the Exchange Act,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hereof from the date of filing of such documents.</w:t>
      </w:r>
    </w:p>
    <w:p>
      <w:pPr>
        <w:spacing w:after="0" w:line="182" w:lineRule="exact"/>
        <w:rPr>
          <w:rFonts w:ascii="Times New Roman" w:cs="Times New Roman" w:eastAsia="Times New Roman" w:hAnsi="Times New Roman"/>
          <w:sz w:val="17"/>
          <w:szCs w:val="17"/>
          <w:color w:val="auto"/>
        </w:rPr>
      </w:pPr>
    </w:p>
    <w:p>
      <w:pPr>
        <w:ind w:right="40" w:firstLine="321"/>
        <w:spacing w:after="0" w:line="257"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178"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4" w:lineRule="exact"/>
        <w:rPr>
          <w:rFonts w:ascii="Times New Roman" w:cs="Times New Roman" w:eastAsia="Times New Roman" w:hAnsi="Times New Roman"/>
          <w:sz w:val="17"/>
          <w:szCs w:val="17"/>
          <w:color w:val="auto"/>
        </w:rPr>
      </w:pPr>
    </w:p>
    <w:p>
      <w:pPr>
        <w:ind w:right="540" w:firstLine="436"/>
        <w:spacing w:after="0" w:line="277" w:lineRule="auto"/>
        <w:rPr>
          <w:sz w:val="20"/>
          <w:szCs w:val="20"/>
          <w:color w:val="auto"/>
        </w:rPr>
      </w:pPr>
      <w:r>
        <w:rPr>
          <w:rFonts w:ascii="Times New Roman" w:cs="Times New Roman" w:eastAsia="Times New Roman" w:hAnsi="Times New Roman"/>
          <w:sz w:val="18"/>
          <w:szCs w:val="18"/>
          <w:color w:val="auto"/>
        </w:rPr>
        <w:t>The Exhibits listed on the accompanying Exhibit Index are filed as a part of, or incorporated by reference into, this Registration Statement. (See Exhibit Index below).</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4445</wp:posOffset>
            </wp:positionH>
            <wp:positionV relativeFrom="paragraph">
              <wp:posOffset>149225</wp:posOffset>
            </wp:positionV>
            <wp:extent cx="71335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174625</wp:posOffset>
            </wp:positionV>
            <wp:extent cx="71335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480060</wp:posOffset>
            </wp:positionV>
            <wp:extent cx="71335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 w:name="page3"/>
    <w:bookmarkEnd w:id="2"/>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Number</w:t>
        <w:tab/>
        <w:t>Description of Exhibit</w:t>
      </w:r>
    </w:p>
    <w:p>
      <w:pPr>
        <w:spacing w:after="0" w:line="41" w:lineRule="exact"/>
        <w:rPr>
          <w:sz w:val="20"/>
          <w:szCs w:val="20"/>
          <w:color w:val="auto"/>
        </w:rPr>
      </w:pPr>
    </w:p>
    <w:p>
      <w:pPr>
        <w:ind w:left="880" w:right="60" w:hanging="367"/>
        <w:spacing w:after="0" w:line="277" w:lineRule="auto"/>
        <w:tabs>
          <w:tab w:leader="none" w:pos="860" w:val="left"/>
        </w:tabs>
        <w:rPr>
          <w:rFonts w:ascii="Times New Roman" w:cs="Times New Roman" w:eastAsia="Times New Roman" w:hAnsi="Times New Roman"/>
          <w:sz w:val="18"/>
          <w:szCs w:val="18"/>
          <w:u w:val="single" w:color="auto"/>
          <w:color w:val="0000EE"/>
        </w:rPr>
      </w:pPr>
      <w:hyperlink r:id="rId22">
        <w:r>
          <w:rPr>
            <w:rFonts w:ascii="Times New Roman" w:cs="Times New Roman" w:eastAsia="Times New Roman" w:hAnsi="Times New Roman"/>
            <w:sz w:val="18"/>
            <w:szCs w:val="18"/>
            <w:u w:val="single" w:color="auto"/>
            <w:color w:val="0000EE"/>
          </w:rPr>
          <w:t>4.1</w:t>
        </w:r>
      </w:hyperlink>
      <w:r>
        <w:rPr>
          <w:rFonts w:ascii="Times New Roman" w:cs="Times New Roman" w:eastAsia="Times New Roman" w:hAnsi="Times New Roman"/>
          <w:sz w:val="18"/>
          <w:szCs w:val="18"/>
          <w:u w:val="single" w:color="auto"/>
          <w:color w:val="0000EE"/>
        </w:rPr>
        <w:tab/>
      </w:r>
      <w:hyperlink r:id="rId22">
        <w:r>
          <w:rPr>
            <w:rFonts w:ascii="Times New Roman" w:cs="Times New Roman" w:eastAsia="Times New Roman" w:hAnsi="Times New Roman"/>
            <w:sz w:val="18"/>
            <w:szCs w:val="18"/>
            <w:u w:val="single" w:color="auto"/>
            <w:color w:val="0000EE"/>
          </w:rPr>
          <w:t>The Fourth Amended and Restated Memorandum and Articles of Association of the Registrant, as currently in effect (incorporated herein by</w:t>
        </w:r>
      </w:hyperlink>
      <w:r>
        <w:rPr>
          <w:rFonts w:ascii="Times New Roman" w:cs="Times New Roman" w:eastAsia="Times New Roman" w:hAnsi="Times New Roman"/>
          <w:sz w:val="18"/>
          <w:szCs w:val="18"/>
          <w:u w:val="single" w:color="auto"/>
          <w:color w:val="0000EE"/>
        </w:rPr>
        <w:t xml:space="preserve"> </w:t>
      </w:r>
      <w:hyperlink r:id="rId22">
        <w:r>
          <w:rPr>
            <w:rFonts w:ascii="Times New Roman" w:cs="Times New Roman" w:eastAsia="Times New Roman" w:hAnsi="Times New Roman"/>
            <w:sz w:val="18"/>
            <w:szCs w:val="18"/>
            <w:u w:val="single" w:color="auto"/>
            <w:color w:val="0000EE"/>
          </w:rPr>
          <w:t>reference to Exhibit 3.1 to the current report on Form 6-K/A (File No. 001-39117), furnished with the Commission on May 19, 2026)</w:t>
        </w:r>
      </w:hyperlink>
    </w:p>
    <w:p>
      <w:pPr>
        <w:spacing w:after="0" w:line="3" w:lineRule="exact"/>
        <w:rPr>
          <w:rFonts w:ascii="Times New Roman" w:cs="Times New Roman" w:eastAsia="Times New Roman" w:hAnsi="Times New Roman"/>
          <w:sz w:val="18"/>
          <w:szCs w:val="18"/>
          <w:u w:val="single" w:color="auto"/>
          <w:color w:val="0000EE"/>
        </w:rPr>
      </w:pPr>
    </w:p>
    <w:p>
      <w:pPr>
        <w:ind w:left="880" w:hanging="367"/>
        <w:spacing w:after="0" w:line="277" w:lineRule="auto"/>
        <w:tabs>
          <w:tab w:leader="none" w:pos="860" w:val="left"/>
        </w:tabs>
        <w:rPr>
          <w:rFonts w:ascii="Times New Roman" w:cs="Times New Roman" w:eastAsia="Times New Roman" w:hAnsi="Times New Roman"/>
          <w:sz w:val="18"/>
          <w:szCs w:val="18"/>
          <w:u w:val="single" w:color="auto"/>
          <w:color w:val="0000EE"/>
        </w:rPr>
      </w:pPr>
      <w:hyperlink r:id="rId23">
        <w:r>
          <w:rPr>
            <w:rFonts w:ascii="Times New Roman" w:cs="Times New Roman" w:eastAsia="Times New Roman" w:hAnsi="Times New Roman"/>
            <w:sz w:val="18"/>
            <w:szCs w:val="18"/>
            <w:u w:val="single" w:color="auto"/>
            <w:color w:val="0000EE"/>
          </w:rPr>
          <w:t>4.2</w:t>
        </w:r>
      </w:hyperlink>
      <w:r>
        <w:rPr>
          <w:rFonts w:ascii="Times New Roman" w:cs="Times New Roman" w:eastAsia="Times New Roman" w:hAnsi="Times New Roman"/>
          <w:sz w:val="18"/>
          <w:szCs w:val="18"/>
          <w:u w:val="single" w:color="auto"/>
          <w:color w:val="0000EE"/>
        </w:rPr>
        <w:tab/>
      </w:r>
      <w:hyperlink r:id="rId23">
        <w:r>
          <w:rPr>
            <w:rFonts w:ascii="Times New Roman" w:cs="Times New Roman" w:eastAsia="Times New Roman" w:hAnsi="Times New Roman"/>
            <w:sz w:val="18"/>
            <w:szCs w:val="18"/>
            <w:u w:val="single" w:color="auto"/>
            <w:color w:val="0000EE"/>
          </w:rPr>
          <w:t>Registrant’s Specimen Certificate for Class A Ordinary Shares (incorporated herein by reference to Exhibit 4.2 to the Registrant’s registration</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statement on Form F-1 filed on September 30, 2019, as amended) (Securities Act File No. 333-234006)</w:t>
        </w:r>
      </w:hyperlink>
    </w:p>
    <w:p>
      <w:pPr>
        <w:spacing w:after="0" w:line="3" w:lineRule="exact"/>
        <w:rPr>
          <w:rFonts w:ascii="Times New Roman" w:cs="Times New Roman" w:eastAsia="Times New Roman" w:hAnsi="Times New Roman"/>
          <w:sz w:val="18"/>
          <w:szCs w:val="18"/>
          <w:u w:val="single" w:color="auto"/>
          <w:color w:val="0000EE"/>
        </w:rPr>
      </w:pPr>
    </w:p>
    <w:p>
      <w:pPr>
        <w:ind w:left="880" w:right="60" w:hanging="367"/>
        <w:spacing w:after="0" w:line="262" w:lineRule="auto"/>
        <w:tabs>
          <w:tab w:leader="none" w:pos="860" w:val="left"/>
        </w:tabs>
        <w:rPr>
          <w:rFonts w:ascii="Times New Roman" w:cs="Times New Roman" w:eastAsia="Times New Roman" w:hAnsi="Times New Roman"/>
          <w:sz w:val="18"/>
          <w:szCs w:val="18"/>
          <w:u w:val="single" w:color="auto"/>
          <w:color w:val="0000EE"/>
        </w:rPr>
      </w:pPr>
      <w:hyperlink r:id="rId24">
        <w:r>
          <w:rPr>
            <w:rFonts w:ascii="Times New Roman" w:cs="Times New Roman" w:eastAsia="Times New Roman" w:hAnsi="Times New Roman"/>
            <w:sz w:val="18"/>
            <w:szCs w:val="18"/>
            <w:u w:val="single" w:color="auto"/>
            <w:color w:val="0000EE"/>
          </w:rPr>
          <w:t>4.3</w:t>
        </w:r>
      </w:hyperlink>
      <w:r>
        <w:rPr>
          <w:rFonts w:ascii="Times New Roman" w:cs="Times New Roman" w:eastAsia="Times New Roman" w:hAnsi="Times New Roman"/>
          <w:sz w:val="18"/>
          <w:szCs w:val="18"/>
          <w:u w:val="single" w:color="auto"/>
          <w:color w:val="0000EE"/>
        </w:rPr>
        <w:tab/>
      </w:r>
      <w:hyperlink r:id="rId24">
        <w:r>
          <w:rPr>
            <w:rFonts w:ascii="Times New Roman" w:cs="Times New Roman" w:eastAsia="Times New Roman" w:hAnsi="Times New Roman"/>
            <w:sz w:val="18"/>
            <w:szCs w:val="18"/>
            <w:u w:val="single" w:color="auto"/>
            <w:color w:val="0000EE"/>
          </w:rPr>
          <w:t>Form of Deposit Agreement between the Registrant, the depositary and holders of the American Depositary Shares (incorporated herein by</w:t>
        </w:r>
      </w:hyperlink>
      <w:r>
        <w:rPr>
          <w:rFonts w:ascii="Times New Roman" w:cs="Times New Roman" w:eastAsia="Times New Roman" w:hAnsi="Times New Roman"/>
          <w:sz w:val="18"/>
          <w:szCs w:val="18"/>
          <w:u w:val="single" w:color="auto"/>
          <w:color w:val="0000EE"/>
        </w:rPr>
        <w:t xml:space="preserve"> </w:t>
      </w:r>
      <w:hyperlink r:id="rId24">
        <w:r>
          <w:rPr>
            <w:rFonts w:ascii="Times New Roman" w:cs="Times New Roman" w:eastAsia="Times New Roman" w:hAnsi="Times New Roman"/>
            <w:sz w:val="18"/>
            <w:szCs w:val="18"/>
            <w:u w:val="single" w:color="auto"/>
            <w:color w:val="0000EE"/>
          </w:rPr>
          <w:t>reference to Exhibit 4.3 to the Registrant’s registration statement on Form F-1 filed on September 30, 2019, as amended) (Securities Act File</w:t>
        </w:r>
      </w:hyperlink>
      <w:r>
        <w:rPr>
          <w:rFonts w:ascii="Times New Roman" w:cs="Times New Roman" w:eastAsia="Times New Roman" w:hAnsi="Times New Roman"/>
          <w:sz w:val="18"/>
          <w:szCs w:val="18"/>
          <w:u w:val="single" w:color="auto"/>
          <w:color w:val="0000EE"/>
        </w:rPr>
        <w:t xml:space="preserve"> </w:t>
      </w:r>
      <w:hyperlink r:id="rId24">
        <w:r>
          <w:rPr>
            <w:rFonts w:ascii="Times New Roman" w:cs="Times New Roman" w:eastAsia="Times New Roman" w:hAnsi="Times New Roman"/>
            <w:sz w:val="18"/>
            <w:szCs w:val="18"/>
            <w:u w:val="single" w:color="auto"/>
            <w:color w:val="0000EE"/>
          </w:rPr>
          <w:t>No. 333-234006)</w:t>
        </w:r>
      </w:hyperlink>
    </w:p>
    <w:p>
      <w:pPr>
        <w:spacing w:after="0" w:line="17" w:lineRule="exact"/>
        <w:rPr>
          <w:rFonts w:ascii="Times New Roman" w:cs="Times New Roman" w:eastAsia="Times New Roman" w:hAnsi="Times New Roman"/>
          <w:sz w:val="18"/>
          <w:szCs w:val="18"/>
          <w:u w:val="single" w:color="auto"/>
          <w:color w:val="0000EE"/>
        </w:rPr>
      </w:pPr>
    </w:p>
    <w:p>
      <w:pPr>
        <w:ind w:left="420"/>
        <w:spacing w:after="0"/>
        <w:tabs>
          <w:tab w:leader="none" w:pos="860" w:val="left"/>
        </w:tabs>
        <w:rPr>
          <w:sz w:val="20"/>
          <w:szCs w:val="20"/>
          <w:color w:val="auto"/>
        </w:rPr>
      </w:pPr>
      <w:r>
        <w:rPr>
          <w:rFonts w:ascii="Times New Roman" w:cs="Times New Roman" w:eastAsia="Times New Roman" w:hAnsi="Times New Roman"/>
          <w:sz w:val="18"/>
          <w:szCs w:val="18"/>
          <w:u w:val="single" w:color="auto"/>
          <w:color w:val="0000EE"/>
        </w:rPr>
        <w:t>5.1*</w:t>
      </w:r>
      <w:r>
        <w:rPr>
          <w:sz w:val="20"/>
          <w:szCs w:val="20"/>
          <w:color w:val="auto"/>
        </w:rPr>
        <w:tab/>
      </w:r>
      <w:r>
        <w:rPr>
          <w:rFonts w:ascii="Times New Roman" w:cs="Times New Roman" w:eastAsia="Times New Roman" w:hAnsi="Times New Roman"/>
          <w:sz w:val="17"/>
          <w:szCs w:val="17"/>
          <w:u w:val="single" w:color="auto"/>
          <w:color w:val="0000EE"/>
        </w:rPr>
        <w:t>Opinion of Maples and Calder (Hong Kong) LLP</w:t>
      </w:r>
    </w:p>
    <w:p>
      <w:pPr>
        <w:spacing w:after="0" w:line="60" w:lineRule="exact"/>
        <w:rPr>
          <w:rFonts w:ascii="Times New Roman" w:cs="Times New Roman" w:eastAsia="Times New Roman" w:hAnsi="Times New Roman"/>
          <w:sz w:val="18"/>
          <w:szCs w:val="18"/>
          <w:u w:val="single" w:color="auto"/>
          <w:color w:val="0000EE"/>
        </w:rPr>
      </w:pPr>
    </w:p>
    <w:p>
      <w:pPr>
        <w:ind w:left="880" w:right="140" w:hanging="456"/>
        <w:spacing w:after="0" w:line="277" w:lineRule="auto"/>
        <w:tabs>
          <w:tab w:leader="none" w:pos="860" w:val="left"/>
        </w:tabs>
        <w:rPr>
          <w:rFonts w:ascii="Times New Roman" w:cs="Times New Roman" w:eastAsia="Times New Roman" w:hAnsi="Times New Roman"/>
          <w:sz w:val="18"/>
          <w:szCs w:val="18"/>
          <w:u w:val="single" w:color="auto"/>
          <w:color w:val="0000EE"/>
        </w:rPr>
      </w:pPr>
      <w:hyperlink r:id="rId25">
        <w:r>
          <w:rPr>
            <w:rFonts w:ascii="Times New Roman" w:cs="Times New Roman" w:eastAsia="Times New Roman" w:hAnsi="Times New Roman"/>
            <w:sz w:val="18"/>
            <w:szCs w:val="18"/>
            <w:u w:val="single" w:color="auto"/>
            <w:color w:val="0000EE"/>
          </w:rPr>
          <w:t>10.1</w:t>
        </w:r>
      </w:hyperlink>
      <w:r>
        <w:rPr>
          <w:rFonts w:ascii="Times New Roman" w:cs="Times New Roman" w:eastAsia="Times New Roman" w:hAnsi="Times New Roman"/>
          <w:sz w:val="18"/>
          <w:szCs w:val="18"/>
          <w:u w:val="single" w:color="auto"/>
          <w:color w:val="0000EE"/>
        </w:rPr>
        <w:tab/>
      </w:r>
      <w:hyperlink r:id="rId25">
        <w:r>
          <w:rPr>
            <w:rFonts w:ascii="Times New Roman" w:cs="Times New Roman" w:eastAsia="Times New Roman" w:hAnsi="Times New Roman"/>
            <w:sz w:val="18"/>
            <w:szCs w:val="18"/>
            <w:u w:val="single" w:color="auto"/>
            <w:color w:val="0000EE"/>
          </w:rPr>
          <w:t>2019 Share Incentive Plan, as amended (incorporated herein by reference to Exhibit 4.1 to the Annual Report of the Registrant on Form 20-</w:t>
        </w:r>
      </w:hyperlink>
      <w:hyperlink r:id="rId25">
        <w:r>
          <w:rPr>
            <w:rFonts w:ascii="Times New Roman" w:cs="Times New Roman" w:eastAsia="Times New Roman" w:hAnsi="Times New Roman"/>
            <w:sz w:val="18"/>
            <w:szCs w:val="18"/>
            <w:u w:val="single" w:color="auto"/>
            <w:color w:val="0000EE"/>
          </w:rPr>
          <w:t>F/A filed with the Commission on May 19, 2026)</w:t>
        </w:r>
      </w:hyperlink>
    </w:p>
    <w:p>
      <w:pPr>
        <w:spacing w:after="0" w:line="3" w:lineRule="exact"/>
        <w:rPr>
          <w:rFonts w:ascii="Times New Roman" w:cs="Times New Roman" w:eastAsia="Times New Roman" w:hAnsi="Times New Roman"/>
          <w:sz w:val="18"/>
          <w:szCs w:val="18"/>
          <w:u w:val="single" w:color="auto"/>
          <w:color w:val="0000EE"/>
        </w:rPr>
      </w:pPr>
    </w:p>
    <w:p>
      <w:pPr>
        <w:ind w:left="320"/>
        <w:spacing w:after="0"/>
        <w:tabs>
          <w:tab w:leader="none" w:pos="860" w:val="left"/>
        </w:tabs>
        <w:rPr>
          <w:sz w:val="20"/>
          <w:szCs w:val="20"/>
          <w:color w:val="auto"/>
        </w:rPr>
      </w:pPr>
      <w:r>
        <w:rPr>
          <w:rFonts w:ascii="Times New Roman" w:cs="Times New Roman" w:eastAsia="Times New Roman" w:hAnsi="Times New Roman"/>
          <w:sz w:val="18"/>
          <w:szCs w:val="18"/>
          <w:u w:val="single" w:color="auto"/>
          <w:color w:val="0000EE"/>
        </w:rPr>
        <w:t>23.1*</w:t>
      </w:r>
      <w:r>
        <w:rPr>
          <w:sz w:val="20"/>
          <w:szCs w:val="20"/>
          <w:color w:val="auto"/>
        </w:rPr>
        <w:tab/>
      </w:r>
      <w:r>
        <w:rPr>
          <w:rFonts w:ascii="Times New Roman" w:cs="Times New Roman" w:eastAsia="Times New Roman" w:hAnsi="Times New Roman"/>
          <w:sz w:val="17"/>
          <w:szCs w:val="17"/>
          <w:u w:val="single" w:color="auto"/>
          <w:color w:val="0000EE"/>
        </w:rPr>
        <w:t>Consent of Maples and Calder (Hong Kong) LLP (included in Exhibit 5.1).</w:t>
      </w:r>
    </w:p>
    <w:p>
      <w:pPr>
        <w:spacing w:after="0" w:line="60" w:lineRule="exact"/>
        <w:rPr>
          <w:rFonts w:ascii="Times New Roman" w:cs="Times New Roman" w:eastAsia="Times New Roman" w:hAnsi="Times New Roman"/>
          <w:sz w:val="18"/>
          <w:szCs w:val="18"/>
          <w:u w:val="single" w:color="auto"/>
          <w:color w:val="0000EE"/>
        </w:rPr>
      </w:pPr>
    </w:p>
    <w:p>
      <w:pPr>
        <w:ind w:left="320"/>
        <w:spacing w:after="0"/>
        <w:tabs>
          <w:tab w:leader="none" w:pos="860" w:val="left"/>
        </w:tabs>
        <w:rPr>
          <w:sz w:val="20"/>
          <w:szCs w:val="20"/>
          <w:color w:val="auto"/>
        </w:rPr>
      </w:pPr>
      <w:r>
        <w:rPr>
          <w:rFonts w:ascii="Times New Roman" w:cs="Times New Roman" w:eastAsia="Times New Roman" w:hAnsi="Times New Roman"/>
          <w:sz w:val="18"/>
          <w:szCs w:val="18"/>
          <w:u w:val="single" w:color="auto"/>
          <w:color w:val="0000EE"/>
        </w:rPr>
        <w:t>23.2*</w:t>
      </w:r>
      <w:r>
        <w:rPr>
          <w:sz w:val="20"/>
          <w:szCs w:val="20"/>
          <w:color w:val="auto"/>
        </w:rPr>
        <w:tab/>
      </w:r>
      <w:r>
        <w:rPr>
          <w:rFonts w:ascii="Times New Roman" w:cs="Times New Roman" w:eastAsia="Times New Roman" w:hAnsi="Times New Roman"/>
          <w:sz w:val="17"/>
          <w:szCs w:val="17"/>
          <w:u w:val="single" w:color="auto"/>
          <w:color w:val="0000EE"/>
        </w:rPr>
        <w:t>Consent of Independent Registered Public Accounting Firm</w:t>
      </w:r>
    </w:p>
    <w:p>
      <w:pPr>
        <w:spacing w:after="0" w:line="60" w:lineRule="exact"/>
        <w:rPr>
          <w:rFonts w:ascii="Times New Roman" w:cs="Times New Roman" w:eastAsia="Times New Roman" w:hAnsi="Times New Roman"/>
          <w:sz w:val="18"/>
          <w:szCs w:val="18"/>
          <w:u w:val="single" w:color="auto"/>
          <w:color w:val="0000EE"/>
        </w:rPr>
      </w:pPr>
    </w:p>
    <w:p>
      <w:pPr>
        <w:ind w:left="320"/>
        <w:spacing w:after="0"/>
        <w:tabs>
          <w:tab w:leader="none" w:pos="860" w:val="left"/>
        </w:tabs>
        <w:rPr>
          <w:sz w:val="20"/>
          <w:szCs w:val="20"/>
          <w:color w:val="auto"/>
        </w:rPr>
      </w:pPr>
      <w:r>
        <w:rPr>
          <w:rFonts w:ascii="Times New Roman" w:cs="Times New Roman" w:eastAsia="Times New Roman" w:hAnsi="Times New Roman"/>
          <w:sz w:val="18"/>
          <w:szCs w:val="18"/>
          <w:u w:val="single" w:color="auto"/>
          <w:color w:val="0000EE"/>
        </w:rPr>
        <w:t>24.1*</w:t>
      </w:r>
      <w:r>
        <w:rPr>
          <w:sz w:val="20"/>
          <w:szCs w:val="20"/>
          <w:color w:val="auto"/>
        </w:rPr>
        <w:tab/>
      </w:r>
      <w:r>
        <w:rPr>
          <w:rFonts w:ascii="Times New Roman" w:cs="Times New Roman" w:eastAsia="Times New Roman" w:hAnsi="Times New Roman"/>
          <w:sz w:val="17"/>
          <w:szCs w:val="17"/>
          <w:u w:val="single" w:color="auto"/>
          <w:color w:val="0000EE"/>
        </w:rPr>
        <w:t>Power of Attorney (included on the signature page of this Registration Statement)</w:t>
      </w:r>
    </w:p>
    <w:p>
      <w:pPr>
        <w:spacing w:after="0" w:line="60" w:lineRule="exact"/>
        <w:rPr>
          <w:rFonts w:ascii="Times New Roman" w:cs="Times New Roman" w:eastAsia="Times New Roman" w:hAnsi="Times New Roman"/>
          <w:sz w:val="18"/>
          <w:szCs w:val="18"/>
          <w:u w:val="single" w:color="auto"/>
          <w:color w:val="0000EE"/>
        </w:rPr>
      </w:pPr>
    </w:p>
    <w:p>
      <w:pPr>
        <w:ind w:left="380"/>
        <w:spacing w:after="0"/>
        <w:tabs>
          <w:tab w:leader="none" w:pos="860" w:val="left"/>
        </w:tabs>
        <w:rPr>
          <w:sz w:val="20"/>
          <w:szCs w:val="20"/>
          <w:color w:val="auto"/>
        </w:rPr>
      </w:pPr>
      <w:r>
        <w:rPr>
          <w:rFonts w:ascii="Times New Roman" w:cs="Times New Roman" w:eastAsia="Times New Roman" w:hAnsi="Times New Roman"/>
          <w:sz w:val="18"/>
          <w:szCs w:val="18"/>
          <w:u w:val="single" w:color="auto"/>
          <w:color w:val="0000EE"/>
        </w:rPr>
        <w:t>107*</w:t>
      </w:r>
      <w:r>
        <w:rPr>
          <w:sz w:val="20"/>
          <w:szCs w:val="20"/>
          <w:color w:val="auto"/>
        </w:rPr>
        <w:tab/>
      </w:r>
      <w:r>
        <w:rPr>
          <w:rFonts w:ascii="Times New Roman" w:cs="Times New Roman" w:eastAsia="Times New Roman" w:hAnsi="Times New Roman"/>
          <w:sz w:val="17"/>
          <w:szCs w:val="17"/>
          <w:u w:val="single" w:color="auto"/>
          <w:color w:val="0000EE"/>
        </w:rPr>
        <w:t>Filing fee table</w:t>
      </w:r>
    </w:p>
    <w:p>
      <w:pPr>
        <w:spacing w:after="0" w:line="274" w:lineRule="exact"/>
        <w:rPr>
          <w:rFonts w:ascii="Times New Roman" w:cs="Times New Roman" w:eastAsia="Times New Roman" w:hAnsi="Times New Roman"/>
          <w:sz w:val="18"/>
          <w:szCs w:val="18"/>
          <w:u w:val="single" w:color="auto"/>
          <w:color w:val="0000EE"/>
        </w:rPr>
      </w:pPr>
    </w:p>
    <w:p>
      <w:pPr>
        <w:ind w:left="120"/>
        <w:spacing w:after="0"/>
        <w:rPr>
          <w:sz w:val="20"/>
          <w:szCs w:val="20"/>
          <w:color w:val="auto"/>
        </w:rPr>
      </w:pPr>
      <w:r>
        <w:rPr>
          <w:rFonts w:ascii="Times New Roman" w:cs="Times New Roman" w:eastAsia="Times New Roman" w:hAnsi="Times New Roman"/>
          <w:sz w:val="18"/>
          <w:szCs w:val="18"/>
          <w:color w:val="auto"/>
        </w:rPr>
        <w:t>*Filed herewith.</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-121920</wp:posOffset>
            </wp:positionH>
            <wp:positionV relativeFrom="paragraph">
              <wp:posOffset>440055</wp:posOffset>
            </wp:positionV>
            <wp:extent cx="71335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960"/>
          </w:cols>
          <w:pgMar w:left="520" w:top="892" w:right="419" w:bottom="1440" w:gutter="0" w:footer="0" w:header="0"/>
        </w:sectPr>
      </w:pPr>
    </w:p>
    <w:bookmarkStart w:id="3" w:name="page4"/>
    <w:bookmarkEnd w:id="3"/>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firstLine="436"/>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PRC, on June 17, 2026.</w:t>
      </w:r>
    </w:p>
    <w:p>
      <w:pPr>
        <w:spacing w:after="0" w:line="17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36Kr Holdings Inc.</w:t>
      </w:r>
    </w:p>
    <w:p>
      <w:pPr>
        <w:spacing w:after="0" w:line="22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Xiang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15875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Xiang Li</w:t>
      </w:r>
    </w:p>
    <w:p>
      <w:pPr>
        <w:spacing w:after="0" w:line="2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427990</wp:posOffset>
            </wp:positionV>
            <wp:extent cx="71335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120"/>
          </w:cols>
          <w:pgMar w:left="320" w:top="892" w:right="4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ind w:right="20" w:firstLine="436"/>
        <w:spacing w:after="0" w:line="252"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Dagang Feng and Xiang Li, as his or her true and lawful attorneys-in-fact and agents, with full power of substitution and re-substitution, for him or her and in his or her name, place, and stead, in any and all capacities, to sign any and all amendments (including post-effective amendments, exhibits thereto and other documents in connection therewith) to this Registration Statement, and to file the same, with all exhibits thereto, and other documents in connection therewith, with the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individually, or their or his substitute or substitutes, may lawfully do or cause to be done by virtue hereof.</w:t>
      </w:r>
    </w:p>
    <w:p>
      <w:pPr>
        <w:spacing w:after="0" w:line="189" w:lineRule="exact"/>
        <w:rPr>
          <w:sz w:val="20"/>
          <w:szCs w:val="20"/>
          <w:color w:val="auto"/>
        </w:rPr>
      </w:pPr>
    </w:p>
    <w:p>
      <w:pPr>
        <w:ind w:right="460" w:firstLine="436"/>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17, 2026.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6400" w:type="dxa"/>
            <w:vAlign w:val="bottom"/>
          </w:tcPr>
          <w:p>
            <w:pPr>
              <w:jc w:val="center"/>
              <w:ind w:left="151"/>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427"/>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Dagang Feng</w:t>
            </w:r>
          </w:p>
        </w:tc>
        <w:tc>
          <w:tcPr>
            <w:tcW w:w="640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Chairman of the Board of Directors and Chief Executive Officer</w:t>
            </w:r>
          </w:p>
        </w:tc>
      </w:tr>
      <w:tr>
        <w:trPr>
          <w:trHeight w:val="226"/>
        </w:trPr>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Dagang Feng</w:t>
            </w:r>
          </w:p>
        </w:tc>
        <w:tc>
          <w:tcPr>
            <w:tcW w:w="640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r>
        <w:trPr>
          <w:trHeight w:val="409"/>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Yang Li</w:t>
            </w:r>
          </w:p>
        </w:tc>
        <w:tc>
          <w:tcPr>
            <w:tcW w:w="640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8"/>
              </w:rPr>
              <w:t>Director and Chief Content Officer</w:t>
            </w:r>
          </w:p>
        </w:tc>
      </w:tr>
      <w:tr>
        <w:trPr>
          <w:trHeight w:val="226"/>
        </w:trPr>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Yang Li</w:t>
            </w:r>
          </w:p>
        </w:tc>
        <w:tc>
          <w:tcPr>
            <w:tcW w:w="6400" w:type="dxa"/>
            <w:vAlign w:val="bottom"/>
          </w:tcPr>
          <w:p>
            <w:pPr>
              <w:spacing w:after="0"/>
              <w:rPr>
                <w:sz w:val="19"/>
                <w:szCs w:val="19"/>
                <w:color w:val="auto"/>
              </w:rPr>
            </w:pPr>
          </w:p>
        </w:tc>
      </w:tr>
      <w:tr>
        <w:trPr>
          <w:trHeight w:val="409"/>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Xiang Li</w:t>
            </w:r>
          </w:p>
        </w:tc>
        <w:tc>
          <w:tcPr>
            <w:tcW w:w="640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8"/>
              </w:rPr>
              <w:t>Director and Chief Financial Officer</w:t>
            </w:r>
          </w:p>
        </w:tc>
      </w:tr>
      <w:tr>
        <w:trPr>
          <w:trHeight w:val="226"/>
        </w:trPr>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Xiang Li</w:t>
            </w:r>
          </w:p>
        </w:tc>
        <w:tc>
          <w:tcPr>
            <w:tcW w:w="640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8"/>
              </w:rPr>
              <w:t>(principal financial officer and principal accounting officer)</w:t>
            </w:r>
          </w:p>
        </w:tc>
      </w:tr>
      <w:tr>
        <w:trPr>
          <w:trHeight w:val="409"/>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Wei Xu</w:t>
            </w:r>
          </w:p>
        </w:tc>
        <w:tc>
          <w:tcPr>
            <w:tcW w:w="640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6"/>
        </w:trPr>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Wei Xu</w:t>
            </w:r>
          </w:p>
        </w:tc>
        <w:tc>
          <w:tcPr>
            <w:tcW w:w="6400" w:type="dxa"/>
            <w:vAlign w:val="bottom"/>
          </w:tcPr>
          <w:p>
            <w:pPr>
              <w:spacing w:after="0"/>
              <w:rPr>
                <w:sz w:val="19"/>
                <w:szCs w:val="19"/>
                <w:color w:val="auto"/>
              </w:rPr>
            </w:pPr>
          </w:p>
        </w:tc>
      </w:tr>
      <w:tr>
        <w:trPr>
          <w:trHeight w:val="409"/>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Yifan Li</w:t>
            </w:r>
          </w:p>
        </w:tc>
        <w:tc>
          <w:tcPr>
            <w:tcW w:w="640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Independent Director</w:t>
            </w:r>
          </w:p>
        </w:tc>
      </w:tr>
      <w:tr>
        <w:trPr>
          <w:trHeight w:val="226"/>
        </w:trPr>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Yifan Li</w:t>
            </w:r>
          </w:p>
        </w:tc>
        <w:tc>
          <w:tcPr>
            <w:tcW w:w="6400" w:type="dxa"/>
            <w:vAlign w:val="bottom"/>
          </w:tcPr>
          <w:p>
            <w:pPr>
              <w:spacing w:after="0"/>
              <w:rPr>
                <w:sz w:val="19"/>
                <w:szCs w:val="19"/>
                <w:color w:val="auto"/>
              </w:rPr>
            </w:pPr>
          </w:p>
        </w:tc>
      </w:tr>
      <w:tr>
        <w:trPr>
          <w:trHeight w:val="409"/>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Hendrick Sin</w:t>
            </w:r>
          </w:p>
        </w:tc>
        <w:tc>
          <w:tcPr>
            <w:tcW w:w="640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Independent Director</w:t>
            </w:r>
          </w:p>
        </w:tc>
      </w:tr>
      <w:tr>
        <w:trPr>
          <w:trHeight w:val="226"/>
        </w:trPr>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Hendrick Sin</w:t>
            </w:r>
          </w:p>
        </w:tc>
        <w:tc>
          <w:tcPr>
            <w:tcW w:w="6400" w:type="dxa"/>
            <w:vAlign w:val="bottom"/>
          </w:tcPr>
          <w:p>
            <w:pPr>
              <w:spacing w:after="0"/>
              <w:rPr>
                <w:sz w:val="19"/>
                <w:szCs w:val="19"/>
                <w:color w:val="auto"/>
              </w:rPr>
            </w:pPr>
          </w:p>
        </w:tc>
      </w:tr>
      <w:tr>
        <w:trPr>
          <w:trHeight w:val="409"/>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Jing Xu</w:t>
            </w:r>
          </w:p>
        </w:tc>
        <w:tc>
          <w:tcPr>
            <w:tcW w:w="640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Independent Director</w:t>
            </w:r>
          </w:p>
        </w:tc>
      </w:tr>
      <w:tr>
        <w:trPr>
          <w:trHeight w:val="226"/>
        </w:trPr>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Jing Xu</w:t>
            </w:r>
          </w:p>
        </w:tc>
        <w:tc>
          <w:tcPr>
            <w:tcW w:w="6400" w:type="dxa"/>
            <w:vAlign w:val="bottom"/>
          </w:tcPr>
          <w:p>
            <w:pPr>
              <w:spacing w:after="0"/>
              <w:rPr>
                <w:sz w:val="19"/>
                <w:szCs w:val="19"/>
                <w:color w:val="auto"/>
              </w:rPr>
            </w:pPr>
          </w:p>
        </w:tc>
      </w:tr>
      <w:tr>
        <w:trPr>
          <w:trHeight w:val="649"/>
        </w:trPr>
        <w:tc>
          <w:tcPr>
            <w:tcW w:w="484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2" w:right="339" w:bottom="1440" w:gutter="0" w:footer="0" w:header="0"/>
        </w:sectPr>
      </w:pPr>
    </w:p>
    <w:bookmarkStart w:id="5" w:name="page6"/>
    <w:bookmarkEnd w:id="5"/>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24" w:lineRule="exact"/>
        <w:rPr>
          <w:sz w:val="20"/>
          <w:szCs w:val="20"/>
          <w:color w:val="auto"/>
        </w:rPr>
      </w:pPr>
    </w:p>
    <w:p>
      <w:pPr>
        <w:ind w:firstLine="436"/>
        <w:spacing w:after="0" w:line="277" w:lineRule="auto"/>
        <w:rPr>
          <w:sz w:val="20"/>
          <w:szCs w:val="20"/>
          <w:color w:val="auto"/>
        </w:rPr>
      </w:pPr>
      <w:r>
        <w:rPr>
          <w:rFonts w:ascii="Times New Roman" w:cs="Times New Roman" w:eastAsia="Times New Roman" w:hAnsi="Times New Roman"/>
          <w:sz w:val="18"/>
          <w:szCs w:val="18"/>
          <w:color w:val="auto"/>
        </w:rPr>
        <w:t>Pursuant to the Securities Act of 1933, the undersigned, the duly authorized representative in the United States of 36Kr Holdings Inc., has signed this registration statement or amendment thereto in New York on June 17, 2026.</w:t>
      </w:r>
    </w:p>
    <w:p>
      <w:pPr>
        <w:spacing w:after="0" w:line="1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Authorized U.S. Representative</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Cogency Global Inc.</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15875</wp:posOffset>
            </wp:positionV>
            <wp:extent cx="33502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3350260" cy="8255"/>
                    </a:xfrm>
                    <a:prstGeom prst="rect">
                      <a:avLst/>
                    </a:prstGeom>
                    <a:noFill/>
                  </pic:spPr>
                </pic:pic>
              </a:graphicData>
            </a:graphic>
          </wp:anchor>
        </w:drawing>
      </w:r>
    </w:p>
    <w:p>
      <w:pPr>
        <w:spacing w:after="0" w:line="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0" w:lineRule="exact"/>
        <w:rPr>
          <w:sz w:val="20"/>
          <w:szCs w:val="20"/>
          <w:color w:val="auto"/>
        </w:rPr>
      </w:pPr>
    </w:p>
    <w:p>
      <w:pPr>
        <w:ind w:left="596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Senior Vice-President on behalf of Cogency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427990</wp:posOffset>
            </wp:positionV>
            <wp:extent cx="71335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080"/>
          </w:cols>
          <w:pgMar w:left="320" w:top="892" w:right="4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Ref:</w:t>
      </w:r>
      <w:r>
        <w:rPr>
          <w:sz w:val="20"/>
          <w:szCs w:val="20"/>
          <w:color w:val="auto"/>
        </w:rPr>
        <w:tab/>
      </w:r>
      <w:r>
        <w:rPr>
          <w:rFonts w:ascii="Times New Roman" w:cs="Times New Roman" w:eastAsia="Times New Roman" w:hAnsi="Times New Roman"/>
          <w:sz w:val="18"/>
          <w:szCs w:val="18"/>
          <w:color w:val="auto"/>
        </w:rPr>
        <w:t>KKZ/757223-000001/86578687v2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36Kr Holdings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B6, Universal Business Park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10 Jiuxianqiao Road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Chaoyang District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2" w:lineRule="exact"/>
        <w:rPr>
          <w:sz w:val="20"/>
          <w:szCs w:val="20"/>
          <w:color w:val="auto"/>
        </w:rPr>
      </w:pPr>
    </w:p>
    <w:p>
      <w:pPr>
        <w:ind w:right="10300" w:firstLine="7"/>
        <w:spacing w:after="0" w:line="522" w:lineRule="auto"/>
        <w:tabs>
          <w:tab w:leader="none" w:pos="223"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June 2026 Dear Sirs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36Kr Holdings Inc. (the “Company”)</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acted as Cayman Islands legal counsel to the Company in connection with a registration statement on Form S-8 to be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17 June 2026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relating to the registration under the United States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of an additional 159,370,000 class A ordinary shares, par value US$0.0001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issuable by the Company pursuant to the Company’s 2019 Share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purposes of giving this opinion, we have examined copies of the Registration Statement and the Plan. We have also reviewed copies of the fourth amended and restated memorandum and articles of association of the Company adopted by special resolution passed on 8 September 2025 (the “</w:t>
      </w:r>
      <w:r>
        <w:rPr>
          <w:rFonts w:ascii="Times New Roman" w:cs="Times New Roman" w:eastAsia="Times New Roman" w:hAnsi="Times New Roman"/>
          <w:sz w:val="18"/>
          <w:szCs w:val="18"/>
          <w:b w:val="1"/>
          <w:bCs w:val="1"/>
          <w:color w:val="auto"/>
        </w:rPr>
        <w:t>Memorandum and Articles</w:t>
      </w:r>
      <w:r>
        <w:rPr>
          <w:rFonts w:ascii="Times New Roman" w:cs="Times New Roman" w:eastAsia="Times New Roman" w:hAnsi="Times New Roman"/>
          <w:sz w:val="18"/>
          <w:szCs w:val="18"/>
          <w:color w:val="auto"/>
        </w:rPr>
        <w:t>”), the written resolutions of the board of directors of the Company dated 4 September 2019, 29 September 2019, 18 August 2021 and 14 March 2026 (together, the “</w:t>
      </w:r>
      <w:r>
        <w:rPr>
          <w:rFonts w:ascii="Times New Roman" w:cs="Times New Roman" w:eastAsia="Times New Roman" w:hAnsi="Times New Roman"/>
          <w:sz w:val="18"/>
          <w:szCs w:val="18"/>
          <w:b w:val="1"/>
          <w:bCs w:val="1"/>
          <w:color w:val="auto"/>
        </w:rPr>
        <w:t>Written Resolutions</w:t>
      </w:r>
      <w:r>
        <w:rPr>
          <w:rFonts w:ascii="Times New Roman" w:cs="Times New Roman" w:eastAsia="Times New Roman" w:hAnsi="Times New Roman"/>
          <w:sz w:val="18"/>
          <w:szCs w:val="18"/>
          <w:color w:val="auto"/>
        </w:rPr>
        <w:t>”) and the minutes (the “</w:t>
      </w:r>
      <w:r>
        <w:rPr>
          <w:rFonts w:ascii="Times New Roman" w:cs="Times New Roman" w:eastAsia="Times New Roman" w:hAnsi="Times New Roman"/>
          <w:sz w:val="18"/>
          <w:szCs w:val="18"/>
          <w:b w:val="1"/>
          <w:bCs w:val="1"/>
          <w:color w:val="auto"/>
        </w:rPr>
        <w:t>Minutes</w:t>
      </w:r>
      <w:r>
        <w:rPr>
          <w:rFonts w:ascii="Times New Roman" w:cs="Times New Roman" w:eastAsia="Times New Roman" w:hAnsi="Times New Roman"/>
          <w:sz w:val="18"/>
          <w:szCs w:val="18"/>
          <w:color w:val="auto"/>
        </w:rPr>
        <w:t>”, together with the Written Resolutions, the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 of the meeting of the board of directors held on 14 March 2026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Based upon, and subject to, the assumptions and qualifications set out below, and having regard to such legal considerations as we deem relevant, we are of the opinion that:</w:t>
      </w:r>
    </w:p>
    <w:p>
      <w:pPr>
        <w:spacing w:after="0" w:line="163" w:lineRule="exact"/>
        <w:rPr>
          <w:sz w:val="20"/>
          <w:szCs w:val="20"/>
          <w:color w:val="auto"/>
        </w:rPr>
      </w:pPr>
    </w:p>
    <w:p>
      <w:pPr>
        <w:ind w:left="640" w:hanging="63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issued by the Company and registered under the Registration Statement have been duly and validly authorized.</w:t>
      </w:r>
    </w:p>
    <w:p>
      <w:pPr>
        <w:spacing w:after="0" w:line="220" w:lineRule="exact"/>
        <w:rPr>
          <w:rFonts w:ascii="Times New Roman" w:cs="Times New Roman" w:eastAsia="Times New Roman" w:hAnsi="Times New Roman"/>
          <w:sz w:val="18"/>
          <w:szCs w:val="18"/>
          <w:color w:val="auto"/>
        </w:rPr>
      </w:pPr>
    </w:p>
    <w:p>
      <w:pPr>
        <w:ind w:left="640" w:hanging="633"/>
        <w:spacing w:after="0" w:line="277"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issued and paid for in accordance with the terms of the Plan and in accordance with the Resolutions, and appropriate entries are made in the register of members (shareholders) of the Company, the Shares will be validly issued, fully paid and non-assessable.</w:t>
      </w:r>
    </w:p>
    <w:p>
      <w:pPr>
        <w:spacing w:after="0" w:line="16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In this opinion letter, the phrase “non-assessable” means, with respect to the issuance of Shares, that a shareholder shall not, in respect of the relevant Shares, have any obligation to make further contributions to the Company’s assets (except in exceptional circumstances, such as involving fraud, the establishment of an agency relationship or an illegal or improper purpose or other circumstances in which a court may be prepared to pierce or lift the corporate veil).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400685</wp:posOffset>
            </wp:positionV>
            <wp:extent cx="71335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7" w:name="page8"/>
    <w:bookmarkEnd w:id="7"/>
    <w:p>
      <w:pPr>
        <w:jc w:val="both"/>
        <w:spacing w:after="0" w:line="259" w:lineRule="auto"/>
        <w:rPr>
          <w:sz w:val="20"/>
          <w:szCs w:val="20"/>
          <w:color w:val="auto"/>
        </w:rPr>
      </w:pPr>
      <w:r>
        <w:rPr>
          <w:rFonts w:ascii="Times New Roman" w:cs="Times New Roman" w:eastAsia="Times New Roman" w:hAnsi="Times New Roman"/>
          <w:sz w:val="18"/>
          <w:szCs w:val="18"/>
          <w:color w:val="auto"/>
        </w:rPr>
        <w:t>These opinions are subject to the qualification that under the Companies Act (As Revised) of the Cayman Islands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xml:space="preserve">”), the register of members of a Cayman Islands company is by statute regarded as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any matters which the Companies Act (As Revised) directs or authorises to be inserted therein. A third party interest in the shares in question would not appear. An entry in the register of members may yield to a court order for rectification (for example, in the event of fraud or manifest error).</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These opinions are given only as to, and based on, circumstances and matters of fact existing and known to us on the date of this opinion letter. These opinions only relate to the laws of the Cayman Islands which are in force on the date of this opinion letter. We express no opinion as to the meaning, validity or effect of any references to foreign (i.e. non-Cayman Islands) statutes, rules, regulations, codes, judicial authority or any other promulgations.</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also relied upon the assumptions, which we have not independently verified, that (a) all signatures, initials and seals are genuine, (b) copies of documents, conformed copies or drafts of documents provided to us are true and complete copies of, or in the final forms of, the originals, (c) there is nothing contained in the minute book or corporate records of the Company (which we have not inspected) which would or might affect the opinions set out above, (d) the Memorandum and Articles remain in full force and effect and are unamended, (e) The Minutes are a true and correct record of the proceedings of the Meeting, which was duly convened and held, and at which a quorum was present throughout, in each case, in the manner prescribed in the memorandum and articles of association of the Company at the time, the Resolutions were duly passed in the manner prescribed in the memorandum and articles of association of the Company (including, without limitation, with respect to the disclosure of interests (if any) by directors of the Company) and have not been amended, varied or revoked in any respect, (f) there is nothing under any law (other than the laws of the Cayman Islands) which would or might affect the opinions set out above, (g) there is nothing under any law (other than the laws of the Cayman Islands) which would or might affect the opinions set out above, and (h) upon the issue of any Shares, the consideration received by the Company shall be not less than the par value of such Shares.</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Registration Statement and further consent to all references to us in the Registration Statement and any amendments thereto. In giving such consent, we do not consider that we are “experts” within the meaning of such term as used in the Securities Act, or the rules and regulations of the Commission issued thereunder, with respect to any part of the Registration Statement, including this opinion as an exhibit or otherwise.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Maples and Calder (Hong Kong)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427990</wp:posOffset>
            </wp:positionV>
            <wp:extent cx="71335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1"/>
          <w:szCs w:val="21"/>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2374900" cy="6191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2374900" cy="619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CONSENT OF INDEPENDENT REGISTERED PUBLIC ACCOUNTING FIRM</w:t>
      </w:r>
    </w:p>
    <w:p>
      <w:pPr>
        <w:spacing w:after="0" w:line="23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1"/>
          <w:szCs w:val="21"/>
          <w:color w:val="auto"/>
        </w:rPr>
        <w:t>We hereby consent to the incorporation by reference in this Registration Statement on Form S-8 of 36Kr Holdings Inc. of our report dated April 23, 2026 relating to the financial statements, which appears in 36Kr Holdings Inc.’s Annual Report on Form 20-F for the year ended December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PricewaterhouseCoopers Zhong Tian LLP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Beijing, the People's Republic of China</w:t>
      </w:r>
    </w:p>
    <w:p>
      <w:pPr>
        <w:spacing w:after="0"/>
        <w:rPr>
          <w:sz w:val="20"/>
          <w:szCs w:val="20"/>
          <w:color w:val="auto"/>
        </w:rPr>
      </w:pPr>
      <w:r>
        <w:rPr>
          <w:rFonts w:ascii="Times New Roman" w:cs="Times New Roman" w:eastAsia="Times New Roman" w:hAnsi="Times New Roman"/>
          <w:sz w:val="21"/>
          <w:szCs w:val="21"/>
          <w:color w:val="auto"/>
        </w:rPr>
        <w:t>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3643630</wp:posOffset>
            </wp:positionH>
            <wp:positionV relativeFrom="paragraph">
              <wp:posOffset>154305</wp:posOffset>
            </wp:positionV>
            <wp:extent cx="2239645" cy="1949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2239645" cy="19494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500" w:type="dxa"/>
            <w:vAlign w:val="bottom"/>
          </w:tcPr>
          <w:p>
            <w:pPr>
              <w:spacing w:after="0"/>
              <w:rPr>
                <w:sz w:val="18"/>
                <w:szCs w:val="18"/>
                <w:color w:val="auto"/>
              </w:rPr>
            </w:pPr>
          </w:p>
        </w:tc>
        <w:tc>
          <w:tcPr>
            <w:tcW w:w="774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PricewaterhouseCoopers Zhong Tian LLP</w:t>
            </w:r>
          </w:p>
        </w:tc>
        <w:tc>
          <w:tcPr>
            <w:tcW w:w="0" w:type="dxa"/>
            <w:vAlign w:val="bottom"/>
          </w:tcPr>
          <w:p>
            <w:pPr>
              <w:spacing w:after="0"/>
              <w:rPr>
                <w:sz w:val="1"/>
                <w:szCs w:val="1"/>
                <w:color w:val="auto"/>
              </w:rPr>
            </w:pPr>
          </w:p>
        </w:tc>
      </w:tr>
      <w:tr>
        <w:trPr>
          <w:trHeight w:val="214"/>
        </w:trPr>
        <w:tc>
          <w:tcPr>
            <w:tcW w:w="3500" w:type="dxa"/>
            <w:vAlign w:val="bottom"/>
          </w:tcPr>
          <w:p>
            <w:pPr>
              <w:spacing w:after="0"/>
              <w:rPr>
                <w:sz w:val="18"/>
                <w:szCs w:val="18"/>
                <w:color w:val="auto"/>
              </w:rPr>
            </w:pPr>
          </w:p>
        </w:tc>
        <w:tc>
          <w:tcPr>
            <w:tcW w:w="774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11/ F PricewaterhouseCoopers Center, Link Square 2</w:t>
            </w:r>
          </w:p>
        </w:tc>
        <w:tc>
          <w:tcPr>
            <w:tcW w:w="0" w:type="dxa"/>
            <w:vAlign w:val="bottom"/>
          </w:tcPr>
          <w:p>
            <w:pPr>
              <w:spacing w:after="0"/>
              <w:rPr>
                <w:sz w:val="1"/>
                <w:szCs w:val="1"/>
                <w:color w:val="auto"/>
              </w:rPr>
            </w:pPr>
          </w:p>
        </w:tc>
      </w:tr>
      <w:tr>
        <w:trPr>
          <w:trHeight w:val="214"/>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www.pwccn.com</w:t>
            </w:r>
          </w:p>
        </w:tc>
        <w:tc>
          <w:tcPr>
            <w:tcW w:w="774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202 Hu Bin Road, Huangpu District, Shanghai 200021, China</w:t>
            </w:r>
          </w:p>
        </w:tc>
        <w:tc>
          <w:tcPr>
            <w:tcW w:w="0" w:type="dxa"/>
            <w:vAlign w:val="bottom"/>
          </w:tcPr>
          <w:p>
            <w:pPr>
              <w:spacing w:after="0"/>
              <w:rPr>
                <w:sz w:val="1"/>
                <w:szCs w:val="1"/>
                <w:color w:val="auto"/>
              </w:rPr>
            </w:pPr>
          </w:p>
        </w:tc>
      </w:tr>
      <w:tr>
        <w:trPr>
          <w:trHeight w:val="233"/>
        </w:trPr>
        <w:tc>
          <w:tcPr>
            <w:tcW w:w="3500" w:type="dxa"/>
            <w:vAlign w:val="bottom"/>
            <w:vMerge w:val="continue"/>
          </w:tcPr>
          <w:p>
            <w:pPr>
              <w:spacing w:after="0"/>
              <w:rPr>
                <w:sz w:val="20"/>
                <w:szCs w:val="20"/>
                <w:color w:val="auto"/>
              </w:rPr>
            </w:pPr>
          </w:p>
        </w:tc>
        <w:tc>
          <w:tcPr>
            <w:tcW w:w="774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 +86 (21) 2323 8888, F: +86 (21) 2323 8800</w:t>
            </w:r>
          </w:p>
        </w:tc>
        <w:tc>
          <w:tcPr>
            <w:tcW w:w="0" w:type="dxa"/>
            <w:vAlign w:val="bottom"/>
          </w:tcPr>
          <w:p>
            <w:pPr>
              <w:spacing w:after="0"/>
              <w:rPr>
                <w:sz w:val="1"/>
                <w:szCs w:val="1"/>
                <w:color w:val="auto"/>
              </w:rPr>
            </w:pPr>
          </w:p>
        </w:tc>
      </w:tr>
      <w:tr>
        <w:trPr>
          <w:trHeight w:val="694"/>
        </w:trPr>
        <w:tc>
          <w:tcPr>
            <w:tcW w:w="350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9" w:right="339" w:bottom="1440" w:gutter="0" w:footer="0" w:header="0"/>
        </w:sectPr>
      </w:pPr>
    </w:p>
    <w:bookmarkStart w:id="9" w:name="page10"/>
    <w:bookmarkEnd w:id="9"/>
    <w:p>
      <w:pPr>
        <w:ind w:left="232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470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160"/>
        <w:spacing w:after="0"/>
        <w:rPr>
          <w:sz w:val="20"/>
          <w:szCs w:val="20"/>
          <w:color w:val="auto"/>
        </w:rPr>
      </w:pPr>
      <w:r>
        <w:rPr>
          <w:rFonts w:ascii="Arial" w:cs="Arial" w:eastAsia="Arial" w:hAnsi="Arial"/>
          <w:sz w:val="36"/>
          <w:szCs w:val="36"/>
          <w:b w:val="1"/>
          <w:bCs w:val="1"/>
          <w:color w:val="auto"/>
        </w:rPr>
        <w:t>36Kr Holdings Inc.</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4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4"/>
                <w:szCs w:val="24"/>
                <w:color w:val="auto"/>
              </w:rPr>
            </w:pPr>
          </w:p>
        </w:tc>
        <w:tc>
          <w:tcPr>
            <w:tcW w:w="1220" w:type="dxa"/>
            <w:vAlign w:val="bottom"/>
            <w:shd w:val="clear" w:color="auto" w:fill="9ADAF6"/>
          </w:tcPr>
          <w:p>
            <w:pPr>
              <w:jc w:val="right"/>
              <w:ind w:right="9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440" w:type="dxa"/>
            <w:vAlign w:val="bottom"/>
            <w:shd w:val="clear" w:color="auto" w:fill="9ADAF6"/>
          </w:tcPr>
          <w:p>
            <w:pPr>
              <w:jc w:val="right"/>
              <w:ind w:right="118"/>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Type</w:t>
            </w:r>
          </w:p>
        </w:tc>
        <w:tc>
          <w:tcPr>
            <w:tcW w:w="20" w:type="dxa"/>
            <w:vAlign w:val="bottom"/>
          </w:tcPr>
          <w:p>
            <w:pPr>
              <w:spacing w:after="0"/>
              <w:rPr>
                <w:sz w:val="20"/>
                <w:szCs w:val="20"/>
                <w:color w:val="auto"/>
              </w:rPr>
            </w:pPr>
          </w:p>
        </w:tc>
        <w:tc>
          <w:tcPr>
            <w:tcW w:w="9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22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440" w:type="dxa"/>
            <w:vAlign w:val="bottom"/>
            <w:shd w:val="clear" w:color="auto" w:fill="9ADAF6"/>
          </w:tcPr>
          <w:p>
            <w:pPr>
              <w:jc w:val="right"/>
              <w:ind w:right="98"/>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2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440" w:type="dxa"/>
            <w:vAlign w:val="bottom"/>
            <w:shd w:val="clear" w:color="auto" w:fill="9ADAF6"/>
          </w:tcPr>
          <w:p>
            <w:pPr>
              <w:jc w:val="right"/>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4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Class A</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Ordinary</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shares,</w:t>
            </w:r>
          </w:p>
        </w:tc>
        <w:tc>
          <w:tcPr>
            <w:tcW w:w="40" w:type="dxa"/>
            <w:vAlign w:val="bottom"/>
          </w:tcPr>
          <w:p>
            <w:pPr>
              <w:spacing w:after="0"/>
              <w:rPr>
                <w:sz w:val="20"/>
                <w:szCs w:val="2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20"/>
                <w:szCs w:val="20"/>
                <w:color w:val="auto"/>
              </w:rPr>
            </w:pPr>
          </w:p>
        </w:tc>
        <w:tc>
          <w:tcPr>
            <w:tcW w:w="12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17,409,000</w:t>
            </w:r>
          </w:p>
        </w:tc>
        <w:tc>
          <w:tcPr>
            <w:tcW w:w="20" w:type="dxa"/>
            <w:vAlign w:val="bottom"/>
          </w:tcPr>
          <w:p>
            <w:pPr>
              <w:spacing w:after="0"/>
              <w:rPr>
                <w:sz w:val="20"/>
                <w:szCs w:val="20"/>
                <w:color w:val="auto"/>
              </w:rPr>
            </w:pPr>
          </w:p>
        </w:tc>
        <w:tc>
          <w:tcPr>
            <w:tcW w:w="13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$ 0.00612</w:t>
            </w:r>
          </w:p>
        </w:tc>
        <w:tc>
          <w:tcPr>
            <w:tcW w:w="20" w:type="dxa"/>
            <w:vAlign w:val="bottom"/>
          </w:tcPr>
          <w:p>
            <w:pPr>
              <w:spacing w:after="0"/>
              <w:rPr>
                <w:sz w:val="20"/>
                <w:szCs w:val="20"/>
                <w:color w:val="auto"/>
              </w:rPr>
            </w:pPr>
          </w:p>
        </w:tc>
        <w:tc>
          <w:tcPr>
            <w:tcW w:w="14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$ 106,543.08</w:t>
            </w:r>
          </w:p>
        </w:tc>
        <w:tc>
          <w:tcPr>
            <w:tcW w:w="40" w:type="dxa"/>
            <w:vAlign w:val="bottom"/>
          </w:tcPr>
          <w:p>
            <w:pPr>
              <w:spacing w:after="0"/>
              <w:rPr>
                <w:sz w:val="20"/>
                <w:szCs w:val="20"/>
                <w:color w:val="auto"/>
              </w:rPr>
            </w:pPr>
          </w:p>
        </w:tc>
        <w:tc>
          <w:tcPr>
            <w:tcW w:w="104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0"/>
                <w:szCs w:val="2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$ 14.71</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40" w:type="dxa"/>
            <w:vAlign w:val="bottom"/>
            <w:tcBorders>
              <w:left w:val="single" w:sz="8" w:color="auto"/>
            </w:tcBorders>
          </w:tcPr>
          <w:p>
            <w:pPr>
              <w:spacing w:after="0"/>
              <w:rPr>
                <w:sz w:val="14"/>
                <w:szCs w:val="14"/>
                <w:color w:val="auto"/>
              </w:rPr>
            </w:pPr>
          </w:p>
        </w:tc>
        <w:tc>
          <w:tcPr>
            <w:tcW w:w="1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restart"/>
            <w:shd w:val="clear" w:color="auto" w:fill="E7E7E2"/>
          </w:tcPr>
          <w:p>
            <w:pPr>
              <w:spacing w:after="0" w:line="240" w:lineRule="exact"/>
              <w:rPr>
                <w:sz w:val="20"/>
                <w:szCs w:val="20"/>
                <w:color w:val="auto"/>
              </w:rPr>
            </w:pPr>
            <w:r>
              <w:rPr>
                <w:rFonts w:ascii="Arial" w:cs="Arial" w:eastAsia="Arial" w:hAnsi="Arial"/>
                <w:sz w:val="21"/>
                <w:szCs w:val="21"/>
                <w:color w:val="auto"/>
              </w:rPr>
              <w:t>par value</w:t>
            </w:r>
          </w:p>
        </w:tc>
        <w:tc>
          <w:tcPr>
            <w:tcW w:w="40" w:type="dxa"/>
            <w:vAlign w:val="bottom"/>
          </w:tcPr>
          <w:p>
            <w:pPr>
              <w:spacing w:after="0"/>
              <w:rPr>
                <w:sz w:val="14"/>
                <w:szCs w:val="14"/>
                <w:color w:val="auto"/>
              </w:rPr>
            </w:pPr>
          </w:p>
        </w:tc>
        <w:tc>
          <w:tcPr>
            <w:tcW w:w="11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vMerge w:val="continue"/>
            <w:shd w:val="clear" w:color="auto" w:fill="E7E7E2"/>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40" w:type="dxa"/>
            <w:vAlign w:val="bottom"/>
            <w:tcBorders>
              <w:left w:val="single" w:sz="8" w:color="auto"/>
            </w:tcBorders>
          </w:tcPr>
          <w:p>
            <w:pPr>
              <w:spacing w:after="0"/>
              <w:rPr>
                <w:sz w:val="6"/>
                <w:szCs w:val="6"/>
                <w:color w:val="auto"/>
              </w:rPr>
            </w:pPr>
          </w:p>
        </w:tc>
        <w:tc>
          <w:tcPr>
            <w:tcW w:w="18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vMerge w:val="continue"/>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36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44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500" w:type="dxa"/>
            <w:vAlign w:val="bottom"/>
            <w:shd w:val="clear" w:color="auto" w:fill="E7E7E2"/>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$0.0001</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0"/>
                <w:szCs w:val="20"/>
                <w:color w:val="auto"/>
              </w:rPr>
            </w:pPr>
            <w:r>
              <w:rPr>
                <w:rFonts w:ascii="Arial" w:cs="Arial" w:eastAsia="Arial" w:hAnsi="Arial"/>
                <w:sz w:val="21"/>
                <w:szCs w:val="21"/>
                <w:color w:val="auto"/>
              </w:rPr>
              <w:t>per share</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Class A</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Ordinary</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2</w:t>
            </w:r>
          </w:p>
        </w:tc>
        <w:tc>
          <w:tcPr>
            <w:tcW w:w="20" w:type="dxa"/>
            <w:vAlign w:val="bottom"/>
          </w:tcPr>
          <w:p>
            <w:pPr>
              <w:spacing w:after="0"/>
              <w:rPr>
                <w:sz w:val="20"/>
                <w:szCs w:val="20"/>
                <w:color w:val="auto"/>
              </w:rPr>
            </w:pPr>
          </w:p>
        </w:tc>
        <w:tc>
          <w:tcPr>
            <w:tcW w:w="96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shares,</w:t>
            </w:r>
          </w:p>
        </w:tc>
        <w:tc>
          <w:tcPr>
            <w:tcW w:w="40" w:type="dxa"/>
            <w:vAlign w:val="bottom"/>
          </w:tcPr>
          <w:p>
            <w:pPr>
              <w:spacing w:after="0"/>
              <w:rPr>
                <w:sz w:val="20"/>
                <w:szCs w:val="2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20"/>
                <w:szCs w:val="20"/>
                <w:color w:val="auto"/>
              </w:rPr>
            </w:pPr>
          </w:p>
        </w:tc>
        <w:tc>
          <w:tcPr>
            <w:tcW w:w="12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141,961,000</w:t>
            </w:r>
          </w:p>
        </w:tc>
        <w:tc>
          <w:tcPr>
            <w:tcW w:w="20" w:type="dxa"/>
            <w:vAlign w:val="bottom"/>
          </w:tcPr>
          <w:p>
            <w:pPr>
              <w:spacing w:after="0"/>
              <w:rPr>
                <w:sz w:val="20"/>
                <w:szCs w:val="20"/>
                <w:color w:val="auto"/>
              </w:rPr>
            </w:pPr>
          </w:p>
        </w:tc>
        <w:tc>
          <w:tcPr>
            <w:tcW w:w="13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$ 0.00612</w:t>
            </w:r>
          </w:p>
        </w:tc>
        <w:tc>
          <w:tcPr>
            <w:tcW w:w="20" w:type="dxa"/>
            <w:vAlign w:val="bottom"/>
          </w:tcPr>
          <w:p>
            <w:pPr>
              <w:spacing w:after="0"/>
              <w:rPr>
                <w:sz w:val="20"/>
                <w:szCs w:val="20"/>
                <w:color w:val="auto"/>
              </w:rPr>
            </w:pPr>
          </w:p>
        </w:tc>
        <w:tc>
          <w:tcPr>
            <w:tcW w:w="14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$ 868,801.32</w:t>
            </w:r>
          </w:p>
        </w:tc>
        <w:tc>
          <w:tcPr>
            <w:tcW w:w="40" w:type="dxa"/>
            <w:vAlign w:val="bottom"/>
          </w:tcPr>
          <w:p>
            <w:pPr>
              <w:spacing w:after="0"/>
              <w:rPr>
                <w:sz w:val="20"/>
                <w:szCs w:val="20"/>
                <w:color w:val="auto"/>
              </w:rPr>
            </w:pPr>
          </w:p>
        </w:tc>
        <w:tc>
          <w:tcPr>
            <w:tcW w:w="104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0"/>
                <w:szCs w:val="2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$ 119.98</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40" w:type="dxa"/>
            <w:vAlign w:val="bottom"/>
            <w:tcBorders>
              <w:left w:val="single" w:sz="8" w:color="auto"/>
            </w:tcBorders>
          </w:tcPr>
          <w:p>
            <w:pPr>
              <w:spacing w:after="0"/>
              <w:rPr>
                <w:sz w:val="14"/>
                <w:szCs w:val="14"/>
                <w:color w:val="auto"/>
              </w:rPr>
            </w:pPr>
          </w:p>
        </w:tc>
        <w:tc>
          <w:tcPr>
            <w:tcW w:w="1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restart"/>
            <w:shd w:val="clear" w:color="auto" w:fill="E7E7E2"/>
          </w:tcPr>
          <w:p>
            <w:pPr>
              <w:spacing w:after="0" w:line="240" w:lineRule="exact"/>
              <w:rPr>
                <w:sz w:val="20"/>
                <w:szCs w:val="20"/>
                <w:color w:val="auto"/>
              </w:rPr>
            </w:pPr>
            <w:r>
              <w:rPr>
                <w:rFonts w:ascii="Arial" w:cs="Arial" w:eastAsia="Arial" w:hAnsi="Arial"/>
                <w:sz w:val="21"/>
                <w:szCs w:val="21"/>
                <w:color w:val="auto"/>
              </w:rPr>
              <w:t>par value</w:t>
            </w:r>
          </w:p>
        </w:tc>
        <w:tc>
          <w:tcPr>
            <w:tcW w:w="40" w:type="dxa"/>
            <w:vAlign w:val="bottom"/>
          </w:tcPr>
          <w:p>
            <w:pPr>
              <w:spacing w:after="0"/>
              <w:rPr>
                <w:sz w:val="14"/>
                <w:szCs w:val="14"/>
                <w:color w:val="auto"/>
              </w:rPr>
            </w:pPr>
          </w:p>
        </w:tc>
        <w:tc>
          <w:tcPr>
            <w:tcW w:w="11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vMerge w:val="continue"/>
            <w:shd w:val="clear" w:color="auto" w:fill="E7E7E2"/>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40" w:type="dxa"/>
            <w:vAlign w:val="bottom"/>
            <w:tcBorders>
              <w:left w:val="single" w:sz="8" w:color="auto"/>
            </w:tcBorders>
          </w:tcPr>
          <w:p>
            <w:pPr>
              <w:spacing w:after="0"/>
              <w:rPr>
                <w:sz w:val="6"/>
                <w:szCs w:val="6"/>
                <w:color w:val="auto"/>
              </w:rPr>
            </w:pPr>
          </w:p>
        </w:tc>
        <w:tc>
          <w:tcPr>
            <w:tcW w:w="18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vMerge w:val="continue"/>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36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44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500" w:type="dxa"/>
            <w:vAlign w:val="bottom"/>
            <w:shd w:val="clear" w:color="auto" w:fill="E7E7E2"/>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$0.0001</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0"/>
                <w:szCs w:val="20"/>
                <w:color w:val="auto"/>
              </w:rPr>
            </w:pPr>
            <w:r>
              <w:rPr>
                <w:rFonts w:ascii="Arial" w:cs="Arial" w:eastAsia="Arial" w:hAnsi="Arial"/>
                <w:sz w:val="21"/>
                <w:szCs w:val="21"/>
                <w:color w:val="auto"/>
              </w:rPr>
              <w:t>per share</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2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$ 975,344.40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$ 134.69</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2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2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$ 134.69</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260" w:right="200"/>
        <w:spacing w:after="0" w:line="252" w:lineRule="auto"/>
        <w:rPr>
          <w:sz w:val="20"/>
          <w:szCs w:val="20"/>
          <w:color w:val="auto"/>
        </w:rPr>
      </w:pPr>
      <w:r>
        <w:rPr>
          <w:rFonts w:ascii="Arial" w:cs="Arial" w:eastAsia="Arial" w:hAnsi="Arial"/>
          <w:sz w:val="21"/>
          <w:szCs w:val="21"/>
          <w:color w:val="auto"/>
        </w:rPr>
        <w:t>The ordinary shares of 36Kr Holdings Inc. (the "Registrant") registered hereunder may be represented by the Registrant's American depositary shares ("ADSs"), with each ADS representing 500 ordinary shares, par value $0.0001 per share. The registrant's ADSs issuable upon deposit of the ordinary shares have been registered under a separate registration statement on Form F-6 (333-234196).</w:t>
      </w:r>
    </w:p>
    <w:p>
      <w:pPr>
        <w:spacing w:after="0" w:line="188" w:lineRule="exact"/>
        <w:rPr>
          <w:sz w:val="20"/>
          <w:szCs w:val="20"/>
          <w:color w:val="auto"/>
        </w:rPr>
      </w:pPr>
    </w:p>
    <w:p>
      <w:pPr>
        <w:ind w:left="260" w:right="240"/>
        <w:spacing w:after="0" w:line="246" w:lineRule="auto"/>
        <w:rPr>
          <w:sz w:val="20"/>
          <w:szCs w:val="20"/>
          <w:color w:val="auto"/>
        </w:rPr>
      </w:pPr>
      <w:r>
        <w:rPr>
          <w:rFonts w:ascii="Arial" w:cs="Arial" w:eastAsia="Arial" w:hAnsi="Arial"/>
          <w:sz w:val="21"/>
          <w:szCs w:val="21"/>
          <w:color w:val="auto"/>
        </w:rPr>
        <w:t>Represents ordinary shares issuable upon vesting of restricted share units and pursuant to other awards granted under the 2019 Share Incentive Plan (the "Plan") of the Registrant. Pursuant to Rule 416(a) under the Securities Act of 1933, as amended (the "Securities Act"), this registration statement is deemed to cover an indeterminate number of ordinary shares which may be offered and issued to prevent dilution resulting from share splits, share dividends or similar transactions as provided in the Plan.</w:t>
      </w:r>
    </w:p>
    <w:p>
      <w:pPr>
        <w:spacing w:after="0" w:line="198" w:lineRule="exact"/>
        <w:rPr>
          <w:sz w:val="20"/>
          <w:szCs w:val="20"/>
          <w:color w:val="auto"/>
        </w:rPr>
      </w:pPr>
    </w:p>
    <w:p>
      <w:pPr>
        <w:ind w:left="260" w:right="140"/>
        <w:spacing w:after="0" w:line="248" w:lineRule="auto"/>
        <w:rPr>
          <w:sz w:val="20"/>
          <w:szCs w:val="20"/>
          <w:color w:val="auto"/>
        </w:rPr>
      </w:pPr>
      <w:r>
        <w:rPr>
          <w:rFonts w:ascii="Arial" w:cs="Arial" w:eastAsia="Arial" w:hAnsi="Arial"/>
          <w:sz w:val="21"/>
          <w:szCs w:val="21"/>
          <w:color w:val="auto"/>
        </w:rPr>
        <w:t>Represents ordinary shares to be issued for outstanding awards granted pursuant to the Plan as of the date of this Registration Statement. The proposed maximum offering price per share, which is estimated solely for the purposes of calculating the registration fee under Rule 457(h) and Rule 457(c) under the Securities Act, is based on US$3.06 per ADS, the average of the high and low prices for the Registrant's ADSs as quoted on the Nasdaq on June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229870</wp:posOffset>
            </wp:positionV>
            <wp:extent cx="63874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2</w:t>
      </w:r>
    </w:p>
    <w:p>
      <w:pPr>
        <w:spacing w:after="0" w:line="77" w:lineRule="exact"/>
        <w:rPr>
          <w:sz w:val="20"/>
          <w:szCs w:val="20"/>
          <w:color w:val="auto"/>
        </w:rPr>
      </w:pPr>
    </w:p>
    <w:p>
      <w:pPr>
        <w:ind w:left="260" w:right="200"/>
        <w:spacing w:after="0" w:line="252" w:lineRule="auto"/>
        <w:rPr>
          <w:sz w:val="20"/>
          <w:szCs w:val="20"/>
          <w:color w:val="auto"/>
        </w:rPr>
      </w:pPr>
      <w:r>
        <w:rPr>
          <w:rFonts w:ascii="Arial" w:cs="Arial" w:eastAsia="Arial" w:hAnsi="Arial"/>
          <w:sz w:val="21"/>
          <w:szCs w:val="21"/>
          <w:color w:val="auto"/>
        </w:rPr>
        <w:t>The ordinary shares of 36Kr Holdings Inc. (the "Registrant") registered hereunder may be represented by the Registrant's American depositary shares ("ADSs"), with each ADS representing 500 ordinary shares, par value $0.0001 per share. The registrant's ADSs issuable upon deposit of the ordinary shares have been registered under a separate registration statement on Form F-6 (333-234196).</w:t>
      </w:r>
    </w:p>
    <w:p>
      <w:pPr>
        <w:spacing w:after="0" w:line="188" w:lineRule="exact"/>
        <w:rPr>
          <w:sz w:val="20"/>
          <w:szCs w:val="20"/>
          <w:color w:val="auto"/>
        </w:rPr>
      </w:pPr>
    </w:p>
    <w:p>
      <w:pPr>
        <w:ind w:left="260" w:right="240"/>
        <w:spacing w:after="0" w:line="246" w:lineRule="auto"/>
        <w:rPr>
          <w:sz w:val="20"/>
          <w:szCs w:val="20"/>
          <w:color w:val="auto"/>
        </w:rPr>
      </w:pPr>
      <w:r>
        <w:rPr>
          <w:rFonts w:ascii="Arial" w:cs="Arial" w:eastAsia="Arial" w:hAnsi="Arial"/>
          <w:sz w:val="21"/>
          <w:szCs w:val="21"/>
          <w:color w:val="auto"/>
        </w:rPr>
        <w:t>Represents ordinary shares issuable upon vesting of restricted share units and pursuant to other awards granted under the 2019 Share Incentive Plan (the "Plan") of the Registrant. Pursuant to Rule 416(a) under the Securities Act of 1933, as amended (the "Securities Act"), this registration statement is deemed to cover an indeterminate number of ordinary shares which may be offered and issued to prevent dilution resulting from share splits, share dividends or similar transactions as provided in the Plan.</w:t>
      </w:r>
    </w:p>
    <w:p>
      <w:pPr>
        <w:spacing w:after="0" w:line="198" w:lineRule="exact"/>
        <w:rPr>
          <w:sz w:val="20"/>
          <w:szCs w:val="20"/>
          <w:color w:val="auto"/>
        </w:rPr>
      </w:pPr>
    </w:p>
    <w:p>
      <w:pPr>
        <w:ind w:left="260" w:right="140"/>
        <w:spacing w:after="0" w:line="278" w:lineRule="auto"/>
        <w:rPr>
          <w:sz w:val="20"/>
          <w:szCs w:val="20"/>
          <w:color w:val="auto"/>
        </w:rPr>
      </w:pPr>
      <w:r>
        <w:rPr>
          <w:rFonts w:ascii="Arial" w:cs="Arial" w:eastAsia="Arial" w:hAnsi="Arial"/>
          <w:sz w:val="21"/>
          <w:szCs w:val="21"/>
          <w:color w:val="auto"/>
        </w:rPr>
        <w:t>Represents ordinary shares reserved for future awards grants under the Plan. The proposed maximum offering price per share, which is estimated solely for the purposes of calculating the registration fee</w:t>
      </w:r>
    </w:p>
    <w:p>
      <w:pPr>
        <w:sectPr>
          <w:pgSz w:w="11900" w:h="16838" w:orient="portrait"/>
          <w:cols w:equalWidth="0" w:num="1">
            <w:col w:w="10100"/>
          </w:cols>
          <w:pgMar w:left="900" w:top="142" w:right="899" w:bottom="0" w:gutter="0" w:footer="0" w:header="0"/>
        </w:sectPr>
      </w:pPr>
    </w:p>
    <w:bookmarkStart w:id="10" w:name="page11"/>
    <w:bookmarkEnd w:id="10"/>
    <w:p>
      <w:pPr>
        <w:ind w:left="800" w:right="1100"/>
        <w:spacing w:after="0" w:line="259" w:lineRule="auto"/>
        <w:rPr>
          <w:sz w:val="20"/>
          <w:szCs w:val="20"/>
          <w:color w:val="auto"/>
        </w:rPr>
      </w:pPr>
      <w:r>
        <w:rPr>
          <w:rFonts w:ascii="Arial" w:cs="Arial" w:eastAsia="Arial" w:hAnsi="Arial"/>
          <w:sz w:val="21"/>
          <w:szCs w:val="21"/>
          <w:color w:val="auto"/>
        </w:rPr>
        <w:t>under Rule 457(h) and Rule 457(c) under the Securities Act, is based on US$3.06 per ADS, the average of the high and low prices for the Registrant's ADSs as quoted on the Nasdaq on June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220980</wp:posOffset>
            </wp:positionV>
            <wp:extent cx="63874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1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20"/>
                <w:szCs w:val="20"/>
                <w:color w:val="auto"/>
              </w:rPr>
            </w:pPr>
          </w:p>
        </w:tc>
        <w:tc>
          <w:tcPr>
            <w:tcW w:w="8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Number</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1"/>
                <w:szCs w:val="21"/>
                <w:color w:val="auto"/>
              </w:rPr>
            </w:pPr>
          </w:p>
        </w:tc>
        <w:tc>
          <w:tcPr>
            <w:tcW w:w="760" w:type="dxa"/>
            <w:vAlign w:val="bottom"/>
            <w:shd w:val="clear" w:color="auto" w:fill="9ADAF6"/>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215"/>
        </w:trPr>
        <w:tc>
          <w:tcPr>
            <w:tcW w:w="8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Offset</w:t>
            </w:r>
          </w:p>
        </w:tc>
        <w:tc>
          <w:tcPr>
            <w:tcW w:w="40" w:type="dxa"/>
            <w:vAlign w:val="bottom"/>
          </w:tcPr>
          <w:p>
            <w:pPr>
              <w:spacing w:after="0"/>
              <w:rPr>
                <w:sz w:val="18"/>
                <w:szCs w:val="18"/>
                <w:color w:val="auto"/>
              </w:rPr>
            </w:pPr>
          </w:p>
        </w:tc>
        <w:tc>
          <w:tcPr>
            <w:tcW w:w="116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1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7"/>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jpeg"/><Relationship Id="rId34" Type="http://schemas.openxmlformats.org/officeDocument/2006/relationships/image" Target="media/image21.jpe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17" Type="http://schemas.openxmlformats.org/officeDocument/2006/relationships/hyperlink" Target="https://www.sec.gov/ix?doc=/Archives/edgar/data/1779476/000110465926047351/krkr-20251231x20f.htm" TargetMode="External"/><Relationship Id="rId18" Type="http://schemas.openxmlformats.org/officeDocument/2006/relationships/hyperlink" Target="https://www.sec.gov/Archives/edgar/data/1779476/000110465919058622/a19-11309_88a12b.htm" TargetMode="External"/><Relationship Id="rId22" Type="http://schemas.openxmlformats.org/officeDocument/2006/relationships/hyperlink" Target="https://www.sec.gov/Archives/edgar/data/1779476/000110465926063382/tm2614934d1_ex3-1.htm" TargetMode="External"/><Relationship Id="rId23" Type="http://schemas.openxmlformats.org/officeDocument/2006/relationships/hyperlink" Target="https://www.sec.gov/Archives/edgar/data/1779476/000104746919005931/a2239808zex-4_2.htm" TargetMode="External"/><Relationship Id="rId24" Type="http://schemas.openxmlformats.org/officeDocument/2006/relationships/hyperlink" Target="https://www.sec.gov/Archives/edgar/data/1779476/000104746919005931/a2239808zex-4_3.htm" TargetMode="External"/><Relationship Id="rId25" Type="http://schemas.openxmlformats.org/officeDocument/2006/relationships/hyperlink" Target="https://www.sec.gov/Archives/edgar/data/1779476/000110465926063497/tm2614934d2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2026-06-17T15:05:56Z</dcterms:created>
  <dcterms:modified xsi:type="dcterms:W3CDTF">2026-06-17T15:05:56Z</dcterms:modified>
</cp:coreProperties>
</file>