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2120" w:firstLine="8"/>
        <w:spacing w:after="0" w:line="500" w:lineRule="auto"/>
        <w:tabs>
          <w:tab w:leader="none" w:pos="324"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480" w:right="1740" w:hanging="5472"/>
        <w:spacing w:after="0" w:line="479" w:lineRule="auto"/>
        <w:tabs>
          <w:tab w:leader="none" w:pos="323"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7"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event requiring this shell company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001-39117</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36Kr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B6, Universal Business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10 Jiuxianqiao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Chaoyang District, Beijing, People’s Republic of China, 100015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Mr. Xiang Li, Chief Financial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+86 10 8965-0708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lixiang.neil@36kr.com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B6, Universal Business Park,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10 Jiuxianqiao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Chaoyang District, Beijing, People’s Republic of China, 100015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ADS represents 500</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KRKR</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 (The Nasdaq Capital</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ordinary shares, par value US$0.0001 per 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ordinary shares, par value US$0.0001 per share*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 (The Nasdaq Capital</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bl>
    <w:p>
      <w:pPr>
        <w:spacing w:after="0" w:line="198" w:lineRule="exact"/>
        <w:rPr>
          <w:sz w:val="24"/>
          <w:szCs w:val="24"/>
          <w:color w:val="auto"/>
        </w:rPr>
      </w:pPr>
    </w:p>
    <w:p>
      <w:pPr>
        <w:ind w:right="2440" w:firstLine="8"/>
        <w:spacing w:after="0" w:line="498"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Capital Market. Securities registered or to be registered pursuant to Section 12(g) of the Act: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ectPr>
          <w:pgSz w:w="11900" w:h="16882" w:orient="portrait"/>
          <w:cols w:equalWidth="0" w:num="1">
            <w:col w:w="11240"/>
          </w:cols>
          <w:pgMar w:left="320" w:top="779"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986,905,077 ordinary shares, comprised of 890,822,377 Class A ordinary shares, par value US$0.0001 per share, 41,124,300 Class B ordinary shares, par value US$0.0001 per share, and 54,958,400 Class C ordinary shares, par value US$0.0001 per share,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9420"/>
        <w:spacing w:after="0" w:line="207" w:lineRule="exact"/>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9420"/>
        <w:spacing w:after="0" w:line="207" w:lineRule="exact"/>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 (d) of the Securities Exchange Act of 1934 from their obligations under those Sections.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942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942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“large accelerated filer,” “accelerated filer,” and “emerging growth company” in Rule 12b-2 of the Exchange Act.</w:t>
      </w:r>
    </w:p>
    <w:p>
      <w:pPr>
        <w:sectPr>
          <w:pgSz w:w="11900" w:h="16838" w:orient="portrait"/>
          <w:cols w:equalWidth="0" w:num="1">
            <w:col w:w="11240"/>
          </w:cols>
          <w:pgMar w:left="320" w:top="337" w:right="339" w:bottom="0" w:gutter="0" w:footer="0" w:header="0"/>
        </w:sectPr>
      </w:pPr>
    </w:p>
    <w:p>
      <w:pPr>
        <w:spacing w:after="0" w:line="121" w:lineRule="exact"/>
        <w:rPr>
          <w:sz w:val="20"/>
          <w:szCs w:val="20"/>
          <w:color w:val="auto"/>
        </w:rPr>
      </w:pPr>
    </w:p>
    <w:p>
      <w:pPr>
        <w:ind w:left="11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15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x</w:t>
      </w:r>
    </w:p>
    <w:p>
      <w:pPr>
        <w:spacing w:after="0" w:line="3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4720" w:space="720"/>
            <w:col w:w="2900" w:space="720"/>
            <w:col w:w="2180"/>
          </w:cols>
          <w:pgMar w:left="320" w:top="337" w:right="339" w:bottom="0" w:gutter="0" w:footer="0" w:header="0"/>
          <w:type w:val="continuous"/>
        </w:sectPr>
      </w:pPr>
    </w:p>
    <w:p>
      <w:pPr>
        <w:spacing w:after="0" w:line="1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firstLine="8"/>
        <w:spacing w:after="0" w:line="282" w:lineRule="auto"/>
        <w:tabs>
          <w:tab w:leader="none" w:pos="1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or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7" w:right="339" w:bottom="0" w:gutter="0" w:footer="0" w:header="0"/>
          <w:type w:val="continuous"/>
        </w:sectPr>
      </w:pP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U.S. GAAP </w:t>
      </w:r>
      <w:r>
        <w:rPr>
          <w:rFonts w:ascii="Wingdings" w:cs="Wingdings" w:eastAsia="Wingdings" w:hAnsi="Wingdings"/>
          <w:sz w:val="18"/>
          <w:szCs w:val="18"/>
          <w:b w:val="1"/>
          <w:bCs w:val="1"/>
          <w:color w:val="auto"/>
        </w:rPr>
        <w:t>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International Financial Reporting Standards as issued by the</w:t>
      </w:r>
    </w:p>
    <w:p>
      <w:pPr>
        <w:spacing w:after="0" w:line="27" w:lineRule="exact"/>
        <w:rPr>
          <w:sz w:val="20"/>
          <w:szCs w:val="20"/>
          <w:color w:val="auto"/>
        </w:rPr>
      </w:pPr>
    </w:p>
    <w:p>
      <w:pPr>
        <w:jc w:val="center"/>
        <w:ind w:right="2120"/>
        <w:spacing w:after="0" w:line="207" w:lineRule="exact"/>
        <w:rPr>
          <w:sz w:val="20"/>
          <w:szCs w:val="20"/>
          <w:color w:val="auto"/>
        </w:rPr>
      </w:pPr>
      <w:r>
        <w:rPr>
          <w:rFonts w:ascii="Times New Roman" w:cs="Times New Roman" w:eastAsia="Times New Roman" w:hAnsi="Times New Roman"/>
          <w:sz w:val="18"/>
          <w:szCs w:val="18"/>
          <w:color w:val="auto"/>
        </w:rPr>
        <w:t xml:space="preserve">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86" w:lineRule="exact"/>
        <w:rPr>
          <w:sz w:val="20"/>
          <w:szCs w:val="20"/>
          <w:color w:val="auto"/>
        </w:rPr>
      </w:pPr>
    </w:p>
    <w:p>
      <w:pPr>
        <w:sectPr>
          <w:pgSz w:w="11900" w:h="16838" w:orient="portrait"/>
          <w:cols w:equalWidth="0" w:num="3">
            <w:col w:w="2740" w:space="720"/>
            <w:col w:w="6440" w:space="720"/>
            <w:col w:w="620"/>
          </w:cols>
          <w:pgMar w:left="320" w:top="337" w:right="339" w:bottom="0" w:gutter="0" w:footer="0" w:header="0"/>
          <w:type w:val="continuous"/>
        </w:sectPr>
      </w:pPr>
    </w:p>
    <w:p>
      <w:pPr>
        <w:spacing w:after="0" w:line="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jc w:val="right"/>
        <w:spacing w:after="0" w:line="207" w:lineRule="exact"/>
        <w:tabs>
          <w:tab w:leader="none" w:pos="7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Item 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84" w:lineRule="exact"/>
        <w:rPr>
          <w:sz w:val="20"/>
          <w:szCs w:val="20"/>
          <w:color w:val="auto"/>
        </w:rPr>
      </w:pPr>
    </w:p>
    <w:p>
      <w:pPr>
        <w:ind w:left="9420"/>
        <w:spacing w:after="0" w:line="207" w:lineRule="exact"/>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8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r>
      <w:tr>
        <w:trPr>
          <w:trHeight w:val="41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Auditor Name</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Auditor Location</w:t>
            </w:r>
          </w:p>
        </w:tc>
        <w:tc>
          <w:tcPr>
            <w:tcW w:w="28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Auditor Firm ID</w:t>
            </w:r>
          </w:p>
        </w:tc>
        <w:tc>
          <w:tcPr>
            <w:tcW w:w="780" w:type="dxa"/>
            <w:vAlign w:val="bottom"/>
          </w:tcPr>
          <w:p>
            <w:pPr>
              <w:spacing w:after="0"/>
              <w:rPr>
                <w:sz w:val="24"/>
                <w:szCs w:val="24"/>
                <w:color w:val="auto"/>
              </w:rPr>
            </w:pP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PricewaterhouseCoopers Zhong Tian LLP</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Beijing, the People’s Republic of China</w:t>
            </w:r>
          </w:p>
        </w:tc>
        <w:tc>
          <w:tcPr>
            <w:tcW w:w="200" w:type="dxa"/>
            <w:vAlign w:val="bottom"/>
          </w:tcPr>
          <w:p>
            <w:pPr>
              <w:spacing w:after="0"/>
              <w:rPr>
                <w:sz w:val="20"/>
                <w:szCs w:val="20"/>
                <w:color w:val="auto"/>
              </w:rPr>
            </w:pPr>
          </w:p>
        </w:tc>
        <w:tc>
          <w:tcPr>
            <w:tcW w:w="282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1424</w:t>
            </w:r>
          </w:p>
        </w:tc>
        <w:tc>
          <w:tcPr>
            <w:tcW w:w="780" w:type="dxa"/>
            <w:vAlign w:val="bottom"/>
            <w:tcBorders>
              <w:top w:val="single" w:sz="8" w:color="auto"/>
            </w:tcBorders>
          </w:tcPr>
          <w:p>
            <w:pPr>
              <w:spacing w:after="0"/>
              <w:rPr>
                <w:sz w:val="20"/>
                <w:szCs w:val="20"/>
                <w:color w:val="auto"/>
              </w:rPr>
            </w:pPr>
          </w:p>
        </w:tc>
      </w:tr>
      <w:tr>
        <w:trPr>
          <w:trHeight w:val="198"/>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55"/>
        </w:trPr>
        <w:tc>
          <w:tcPr>
            <w:tcW w:w="3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37" w:right="339" w:bottom="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36Kr Holdings Inc. (the “Company”) is filing this Amendment No. 1 on Form 20-F/A (this “Amendment No. 1”) to amend its annual report on Form 20-F for the fiscal year ended December 31, 2025 as filed with the Securities and Exchange Commission (the “SEC”) on April 23, 2026 (the “Original Filing”). This Amendment No. 1 is being filed solely to amend and restate in its entirety (i) “Item 3 - D. Risk Factors,” (ii) “Item 10 - B. Memorandum and Articles of Association,” and (iii) “Item 19. Exhibits” of the Original Filing. Specifically, the Exhibit Index is being amended to</w:t>
      </w:r>
    </w:p>
    <w:p>
      <w:pPr>
        <w:spacing w:after="0" w:line="3" w:lineRule="exact"/>
        <w:rPr>
          <w:sz w:val="20"/>
          <w:szCs w:val="20"/>
          <w:color w:val="auto"/>
        </w:rPr>
      </w:pPr>
    </w:p>
    <w:p>
      <w:pPr>
        <w:jc w:val="both"/>
        <w:ind w:firstLine="8"/>
        <w:spacing w:after="0" w:line="255"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by reference a corrected version of the Company’s Fourth Amended and Restated Memorandum and Articles of Association, which was filed as Exhibit 3.1 to the Company’s Report on Form 6-K/A on May 19, 2026, and (b) file herewith a corrected version of the Company’s 2019 Share Incentive Plan, as amended and approved by the Board on March 14, 2026.</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Amendment No. 1 speaks as of the filing date of the Original Filing, or April 23, 2026. No attempt has been made in this Amendment No. 1 to modify or update in any way the financial statements or any other items or disclosures in the Original Filing. Except as specifically noted herein, this Amendment No. 1 does not amend, update or restate any of the information previously included in the Original Filing, nor does this Amendment No. 1 reflect any event that has occurred after the date of the Original Filing. Accordingly, this Amendment No. 1 should be read in conjunction with the Original Filing and the Company’s other filings with the SEC subsequent to April 23, 2026.</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required by Rule 12b-15 of the Securities and Exchange Act of 1934, as amended, the Company is also filing or furnishing the certifications required under Section 302 and Section 906 of the Sarbanes-Oxley Act of 2002 as exhibits to this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36Kr Holdings Inc. is a Cayman Islands holding company. It conducts its operations in China through its PRC subsidiaries and the consolidated variable interest entity, or the VIE. However, we and our direct and indirect subsidiaries do not, and it is virtually impossible for them to, have any equity interests in the VIE in practice as current PRC laws and regulations restrict foreign investment in companies that engage in value-added telecommunication services. As a result, we depend on certain contractual arrangements with the VIE to operate a significant portion of our business. This structure allows us to be considered the primary beneficiary of the VIE for accounting purposes, which serves the purpose of consolidating the VIE’s operating results in our financial statements under the U.S. GAAP. This structure also provides contractual exposure to foreign investment in such companies. Shareholders holding 99% equity interests of the VIE are also affiliated with our Company or affiliated with certain shareholders of the Company. Investors in the ADSs are purchasing equity securities of a Cayman Islands holding company rather than equity securities issued by our subsidiaries and the VIE. Investors who are non-PRC residents may never directly hold equity interests in the VIE under current PRC laws and regulations. As used in this annual report, “we,” “us,” “our company,” “our,” or “36Kr” refers to 36Kr Holdings Inc. and its subsidiaries, and, in the context of describing our consolidated financial information, business operations and operating data, our consolidated VIE, “Tianjin Duoke” refers to Tianjin Duoke Investment Co., Ltd., “Beijing Dake” refers to Beijing Dake Information Technology Co., Ltd., and “Beijing Duoke” refers to Beijing Duoke Information Technology Co. Ltd. We refer to Tianjin Duoke and Beijing Dake as the PRC subsidiaries in the context of describing of their activities. We refer to Beijing Duoke as the VIE in the context of describing its activities and contractual arrangements with us.</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corporate structure involves unique risks to investors in the ADSs. In 2024 and 2025, the amount of revenues generated by the VIE accounted for 100% and 100%, respectively, of our total net revenues. As of December 31, 2024 and 2025, total assets of the VIE, excluding amounts due from other companies in the Group, equaled to 92% and 77% of our consolidated total assets as of the same dates, respectively. As of the date of this annual report, to the best knowledge of our Company, our directors and management, the VIE agreements have not been tested in a court of law in the PRC.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material penalties or be forced to relinquish our interests in those operations or otherwise significantly change our corporate structure. We and our investors face significant uncertainty about potential future actions by the PRC government that could affect the legality and enforceability of the contractual arrangements with the VIE and, consequently, significantly affect our ability to consolidate the financial results of the VIE and the financial performance of our company as a whole. The ADSs may decline in value or become worthless if we are unable to effectively enforce our contractual control rights over the assets and operations of the VIE that conduct a significant portion of our business in China. See “Item 3. Key Information-3.D. Risk Factor-Risks Related to Our Corporate Structure” for detailed discussion.</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based in and primarily operating in China. The PRC government has significant authority to exert influence on the ability of a China-based company, like us, to conduct its business, accept foreign investments or be listed on a U.S. stock exchange. For example, we face risks associated with regulatory approvals of offshore offerings, anti-monopoly regulatory actions, cybersecurity and data privacy, as well as the uncertainty on whether the U.S. Public Company Accounting Oversight Board, or PCAOB, will continue to be able to satisfactorily inspect or investigate completely registered public accounting firms headquartered in mainland China and Hong Kong. The PRC government may also influence our operations at any time by adopting new laws and regulations as the government deems appropriate to further regulatory, political and societal goals. The PRC government has historically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such securities to significantly decline or in extreme cases, become worthless.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do not have cash management policies and procedures in place that dictate how funds are transferred through our organization. Rather, the funds can be transferred in accordance with the applicable PRC laws and regulations without limitations, subject to satisfaction of applicable government registration and approval requirements. Loans by us to our PRC subsidiaries to finance their activities cannot exceed statutory limits and must be registered with the local counterpart of SAFE and capital contributions to our PRC subsidiaries are subject to the requirement of making necessary filings in the Foreign Investment Comprehensive Management Information System, and registration with other governmental authorities in China. See “Item 4. Information on the Company — 4.A. History and Development of the Company — Our Corporate History.”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Below please find a summary of the principal risks and uncertainties we face, organized under relevant headings. In particular, as we are a China-based company incorporated in the Cayman Islands, you should pay special attention to subsections headed “Item 3. Key Information—3.D. Risk Factors—Risks Related to Doing Business in China” and “Item 3. Key Information—3.D. Risk Factors—Risks Related to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324"/>
        <w:spacing w:after="0" w:line="282" w:lineRule="auto"/>
        <w:rPr>
          <w:sz w:val="20"/>
          <w:szCs w:val="20"/>
          <w:color w:val="auto"/>
        </w:rPr>
      </w:pPr>
      <w:r>
        <w:rPr>
          <w:rFonts w:ascii="Times New Roman" w:cs="Times New Roman" w:eastAsia="Times New Roman" w:hAnsi="Times New Roman"/>
          <w:sz w:val="18"/>
          <w:szCs w:val="18"/>
          <w:color w:val="auto"/>
        </w:rPr>
        <w:t>Below please find a summary of the principal risks we face, organized under relevant headings. Please see “Item 3. Key Information—3.D. Risk Factors” and other information included elsewhere in this annual report for a discussion of these and other risks and uncertainties that we face.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7" w:lineRule="exact"/>
        <w:rPr>
          <w:sz w:val="20"/>
          <w:szCs w:val="20"/>
          <w:color w:val="auto"/>
        </w:rPr>
      </w:pPr>
    </w:p>
    <w:p>
      <w:pPr>
        <w:ind w:left="66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Due to the rapidly evolving market in which we operate, it is difficult to evaluate our business. We cannot guarantee historical performance is indicative of future results of operations. For details, see page 4 of this annual report.</w:t>
      </w:r>
    </w:p>
    <w:p>
      <w:pPr>
        <w:spacing w:after="0" w:line="15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We are subject to risks associated with operating in the rapidly evolving New Economy sectors. For details, see page 5 of this annual report.</w:t>
      </w:r>
    </w:p>
    <w:p>
      <w:pPr>
        <w:spacing w:after="0" w:line="224"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 success of our business depends on our ability to maintain and enhance our brand. Negative publicity about us, our services, operations and management, or our affiliates may adversely affect our reputation and business. For details, see page 5 of this annual report.</w:t>
      </w:r>
    </w:p>
    <w:p>
      <w:pPr>
        <w:spacing w:after="0" w:line="158"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If we fail to provide high-quality content in a timely manner, we may not be able to attract or retain users. If our efforts to attract or retain users are not successful, our business and results of operations will be materially and adversely affected. For details, see page 5 of this annual report.</w:t>
      </w:r>
    </w:p>
    <w:p>
      <w:pPr>
        <w:spacing w:after="0" w:line="158" w:lineRule="exact"/>
        <w:rPr>
          <w:rFonts w:ascii="Arial" w:cs="Arial" w:eastAsia="Arial" w:hAnsi="Arial"/>
          <w:sz w:val="18"/>
          <w:szCs w:val="18"/>
          <w:b w:val="1"/>
          <w:bCs w:val="1"/>
          <w:color w:val="auto"/>
        </w:rPr>
      </w:pPr>
    </w:p>
    <w:p>
      <w:pPr>
        <w:ind w:left="66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We cannot guarantee our monetization strategies will be successfully implemented or generate sustainable revenues or profit. For details, see page 6 of this annual report.</w:t>
      </w:r>
    </w:p>
    <w:p>
      <w:pPr>
        <w:spacing w:after="0" w:line="15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Our business could suffer if we are unable to retain or hire quality in-house writers and editors. For details, see page 6 of this annual report.</w:t>
      </w:r>
    </w:p>
    <w:p>
      <w:pPr>
        <w:spacing w:after="0" w:line="224"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Deterioration or termination of cooperation with third-party professional content providers may have a material adverse impact on our business and results of operations. For details, see page 6 of this annual report.</w:t>
      </w:r>
    </w:p>
    <w:p>
      <w:pPr>
        <w:spacing w:after="0" w:line="158" w:lineRule="exact"/>
        <w:rPr>
          <w:rFonts w:ascii="Arial" w:cs="Arial" w:eastAsia="Arial" w:hAnsi="Arial"/>
          <w:sz w:val="18"/>
          <w:szCs w:val="18"/>
          <w:b w:val="1"/>
          <w:bCs w:val="1"/>
          <w:color w:val="auto"/>
        </w:rPr>
      </w:pPr>
    </w:p>
    <w:p>
      <w:pPr>
        <w:ind w:left="66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Our business, prospects and financial results may be affected by our relationship with third-party platforms. For details, see page 6 of this annual report.</w:t>
      </w:r>
    </w:p>
    <w:p>
      <w:pPr>
        <w:spacing w:after="0" w:line="158"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If the content provided on our platform is deemed to violate any PRC laws or regulations, our business, financial condition and results of operations may be materially and adversely affected. For details, see page 6 of this annual report.</w:t>
      </w:r>
    </w:p>
    <w:p>
      <w:pPr>
        <w:spacing w:after="0" w:line="158"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If we fail to develop effective online advertising services, retain or acquire new online advertising services customers, or manage the credit risk of our customers, our financial condition, results of operations and prospects may be materially and adversely affected. For details, see page 7 of this annual report.</w:t>
      </w:r>
    </w:p>
    <w:p>
      <w:pPr>
        <w:spacing w:after="0" w:line="174" w:lineRule="exact"/>
        <w:rPr>
          <w:rFonts w:ascii="Arial" w:cs="Arial" w:eastAsia="Arial" w:hAnsi="Arial"/>
          <w:sz w:val="18"/>
          <w:szCs w:val="18"/>
          <w:b w:val="1"/>
          <w:bCs w:val="1"/>
          <w:color w:val="auto"/>
        </w:rPr>
      </w:pPr>
    </w:p>
    <w:p>
      <w:pPr>
        <w:ind w:left="660" w:hanging="328"/>
        <w:spacing w:after="0" w:line="283"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Our business is subject to complex and evolving laws and regulations regarding cybersecurity and data privacy. For details, see page 7 of this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7" w:lineRule="exact"/>
        <w:rPr>
          <w:sz w:val="20"/>
          <w:szCs w:val="20"/>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 For details, see page 20 of this annual report.</w:t>
      </w:r>
    </w:p>
    <w:p>
      <w:pPr>
        <w:spacing w:after="0" w:line="181" w:lineRule="exact"/>
        <w:rPr>
          <w:rFonts w:ascii="Arial" w:cs="Arial" w:eastAsia="Arial" w:hAnsi="Arial"/>
          <w:sz w:val="18"/>
          <w:szCs w:val="18"/>
          <w:b w:val="1"/>
          <w:bCs w:val="1"/>
          <w:color w:val="auto"/>
        </w:rPr>
      </w:pPr>
    </w:p>
    <w:p>
      <w:pPr>
        <w:ind w:left="660" w:hanging="328"/>
        <w:spacing w:after="0" w:line="283"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Any failure by the VIE or its shareholders to perform their obligations under our contractual arrangements with them would have a material adverse effect on our business. For details, see page 21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right="20" w:hanging="328"/>
        <w:spacing w:after="0" w:line="283"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We rely on contractual arrangements with the VIE and its shareholders to operate our business, which may not be as effective as direct ownership in providing operational control and otherwise materially and adversely affect our business. For details, see page 24 of this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7" w:lineRule="exact"/>
        <w:rPr>
          <w:sz w:val="20"/>
          <w:szCs w:val="20"/>
          <w:color w:val="auto"/>
        </w:rPr>
      </w:pPr>
    </w:p>
    <w:p>
      <w:pPr>
        <w:jc w:val="both"/>
        <w:ind w:left="660" w:hanging="328"/>
        <w:spacing w:after="0" w:line="26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 approval, filing or other requirements of the China Securities Regulatory Commission or other PRC government authorities may be required under PRC law in connection with our issuance of securities overseas, or maintenance of the listing status of the ADSs, and the PRC government’s oversight and discretion over our business operations could result in a material adverse change in our operations and the value of the ADSs. For details, see page 22 of this annual report.</w:t>
      </w:r>
    </w:p>
    <w:p>
      <w:pPr>
        <w:spacing w:after="0" w:line="178"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Substantial uncertainties exist with respect to the interpretation and implementation of the newly enacted Foreign Investment Law of the PRC and how it may impact the viability of our current corporate structure, corporate governance and business operations. For details, see page 24 of this annual report.</w:t>
      </w:r>
    </w:p>
    <w:p>
      <w:pPr>
        <w:spacing w:after="0" w:line="174" w:lineRule="exact"/>
        <w:rPr>
          <w:rFonts w:ascii="Arial" w:cs="Arial" w:eastAsia="Arial" w:hAnsi="Arial"/>
          <w:sz w:val="18"/>
          <w:szCs w:val="18"/>
          <w:b w:val="1"/>
          <w:bCs w:val="1"/>
          <w:color w:val="auto"/>
        </w:rPr>
      </w:pPr>
    </w:p>
    <w:p>
      <w:pPr>
        <w:ind w:left="660" w:hanging="328"/>
        <w:spacing w:after="0" w:line="283"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 enforcement of laws, and changes in policies, laws and regulations in China, could adversely affect us. For details, see page 26 of this annual report.</w:t>
      </w:r>
    </w:p>
    <w:p>
      <w:pPr>
        <w:spacing w:after="0" w:line="158" w:lineRule="exact"/>
        <w:rPr>
          <w:rFonts w:ascii="Arial" w:cs="Arial" w:eastAsia="Arial" w:hAnsi="Arial"/>
          <w:sz w:val="18"/>
          <w:szCs w:val="18"/>
          <w:b w:val="1"/>
          <w:bCs w:val="1"/>
          <w:color w:val="auto"/>
        </w:rPr>
      </w:pPr>
    </w:p>
    <w:p>
      <w:pPr>
        <w:ind w:left="660" w:hanging="328"/>
        <w:spacing w:after="0" w:line="283"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Changes in China’s economic, political and social conditions as well as government policies could have a material adverse effect on our business and prospect. For details, see page 26 of this annual report.</w:t>
      </w:r>
    </w:p>
    <w:p>
      <w:pPr>
        <w:spacing w:after="0" w:line="158"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Certain judgments obtained against us by our shareholders may not be enforceable in China. For details, see page 27 of this annual report.</w:t>
      </w:r>
    </w:p>
    <w:p>
      <w:pPr>
        <w:spacing w:after="0" w:line="224"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Trading in our securities may be prohibited under the HFCAA if the PCAOB determines that it is unable to inspect or investigate completely our auditor, and as a result, U.S. national securities exchanges, such as the Nasdaq, may determine to delist our securities. For details, see page 27 of this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We believe that we were likely a passive foreign investment company (“PFIC”) for 2025, and due to the current trading prices of the ADSs there is a significant risk that we will be a PFIC for 2026 and possibly future taxable years, which could result in adverse U.S. federal income tax consequences to U.S. investors in the ADSs or Class A ordinary shares. For details, see page 42 of this annual report.</w:t>
      </w:r>
    </w:p>
    <w:p>
      <w:pPr>
        <w:spacing w:after="0" w:line="174"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We have not maintained compliance with the minimum bid price requirement of $1.00 per share for continued listing on the Nasdaq. If we continue to fail to meet this requirement and Nasdaq determines to delist the ADSs, the delisting would adversely affect the market liquidity of the ADSs and the market price of the ADSs could decrease. For details, see page 36 of this annual report.</w:t>
      </w:r>
    </w:p>
    <w:p>
      <w:pPr>
        <w:spacing w:after="0" w:line="174"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 trading price of the ADSs is likely to be volatile, which could result in substantial losses to investors. For details, see page 35 of this annual report.</w:t>
      </w:r>
    </w:p>
    <w:p>
      <w:pPr>
        <w:spacing w:after="0" w:line="158"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If securities or industry analysts do not publish research or reports about our business, or if they adversely change their recommendations regarding the ADSs, the market price for the ADSs and trading volume could decline. For details, see page 36 of this annual report.</w:t>
      </w:r>
    </w:p>
    <w:p>
      <w:pPr>
        <w:spacing w:after="0" w:line="158"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 sale or availability for sale of substantial amounts of the ADSs could adversely affect their market price. For details, see page 37 of this annual report.</w:t>
      </w:r>
    </w:p>
    <w:p>
      <w:pPr>
        <w:spacing w:after="0" w:line="158"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Techniques employed by short sellers may drive down the market price of the ADSs. For details, see page 37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rapidly evolving market in which we operate, it is difficult to evaluate our business. We cannot guarantee historical performance is indicative of future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commenced our operations as a stand-alone company when we were incorporated by Beijing Xieli Zhucheng Finance Information Service Co., Ltd., or Xieli Zhucheng, in December 2016. Since then we have achieved rapid growth in terms of user traffic, customer base and revenues. However, due to the rapidly evolving market in which we operate, there is no assurance that we will be able to maintain our historical growth rates in future periods. Our growth prospects should be considered in light of the risks and uncertainties that the companies in the evolving market in our industry may encounter, including, among others, risks and uncertainties regarding our ability to:</w:t>
      </w:r>
    </w:p>
    <w:p>
      <w:pPr>
        <w:spacing w:after="0" w:line="18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enrich New Economy-focused content offerings;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maintain, strengthen and diversify content distribution channels;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retain existing users on, and attract new users to, our platforms;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offer comprehensive business services tailored to enterprises’ needs throughout their lifecycles;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attract, retain and motivate talented in-house content creation teams;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maintain stable relationships with third-party professional content providers;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 and implement successful monetization strategies;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 brand awareness through marketing and branding activities;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upgrade existing technology and infrastructure and develop new technologies;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successfully compete with other companies that are currently in, or may in the future enter, our industry;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adapt to the evolving regulatory environment.</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these endeavors involve risks and will require significant allocation of management and employee resources and capital expenditures. We cannot assure you that we will be able to effectively manage our growth or implement our business strategies effectively. If the market for our platform does not develop as we expect or if we fail to address the needs of this dynamic market, our business, results of operations and financial condition will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in the rapidly evolving New Economy sectors.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New Economy-focused content and business services provider dedicated to serving New Economy participants in China, we are subject to risks associated with the rapidly evolving nature of New Economy sectors, including but not limited to technology, consumer, retail, healthcare and enterprise services. Our future business, financial conditions, and results of operations will largely depend on the development of China’s New Economy and the growth of the number of New Economy participants. New Economy in China has experienced periods of rapid expansion, and the market size of New Economy-focused online advertising services, enterprise value-added services, and subscription services is expected to grow rapidly. However, there are significant uncertainties with respect to the growth and sustained profitability of China’s New Economy sectors, including changes in general economic conditions in China, New Economy market trends and regulatory environment. Most of these factors are beyond our control. For example, adverse regulatory developments in New Economy sectors in China, such as new or stricter licensing requirements and restrictive industry policies, could materially affect the result of operations and financial conditions of our customers participating in such industries, which may in turn reduce their demand for our services. As a result, our business, financial condition and results of operations could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maintain and enhance our brand. Negative publicity about us, our services, operations and management, or our affiliates may adversely affect our reputation and business.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maintaining and enhancing our 36Kr brand is critical to our success, especially user and customer acquisition and retention. Unsuccessful marketing efforts, low-quality content and service offerings and unsatisfying user and customer experience are likely to harm our brand image and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negative publicity about us, our services, operations and our management may adversely affect our reputation and business. We have received negative publicity from time to time, including negative Internet and blog postings about our company, our business, our management, our services or our affiliates. Certain of such negative publicity may come from malicious harassment or unfair competition acts by third parties. Our brand and reputation may be materially and adversely affected, which in turn may cause us to lose market share, users, customers and other third parties we conduct business with. As a result, our results of operations and financial performance may be negatively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high-quality content in a timely manner, we may not be able to attract or retain users. If our efforts to attract or retain users are not successful, our business and results of operations will be materially and adversely affected.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significant user growth over the past several years. Our success depends on our ability to generate sufficient user traffic on our platform through the provision of high-quality New Economy-focused content. To attract and retain users, we need to further enrich our content by producing and sourcing new high-quality content in a cost-effective and timely manner. Furthermore, we need to anticipate and quickly respond to prevailing content formats, changing user preferences, and development in New Economy market trends. If we fail to cater to the needs and preferences of our users or deliver high-quality content in an efficient manner, we may suffer from reduced user traffic. In addition, if our valuable users no longer contribute their opinions or comments or other forms of interactive content to our platform, we may experience a decrease in the number of users or level of user engagement. At the same time, spam or excessive advertising could impact user experience on our platform, which could damage our reputation and deter visits to our platform. If we are unable to grow our user base or increase user engagement, our platform will become less attractive to potential customers, especially online advertising services customers. As a result, our business, financial condition and results of operations may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our monetization strategies will be successfully implemented or generate sustainable revenues or profit.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generate a majority of our revenues from online advertising services and enterprise value-added services. Nevertheless, we have been diversifying and may further diversify our monetization channels by introducing new services, including services with which we have limited or no prior experience. We have been expanding our comprehensive enterprise value-added service offerings to meet various demands of our customers. We cannot assure you that any of our newly launched services will successfully achieve wide market acceptance, increase the penetration of our addressable market or generate revenues or profit. If our business initiatives fail to enhance our monetization abilities, we may not be able to maintain or increase our revenues or recover any associated costs, and our business and operating results may suffer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are unable to retain or hire quality in-house writers, editors and video producers.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primarily on our in-house writers, editors and video producers to create high-quality original content. We intend to continue to invest resources in our in-house content production writer and editorial team to maintain and improve content creation capabilities. Nevertheless, the demand and competition for talent is intense in our industry, particularly for skilled writers and editors. Therefore, we may need to offer high compensation and additional benefits to maintain a skilled in-house content creation team, which could increase our expenses. If we fail to compete effectively for talents, lose existing writers, editors or video producers, or fail to otherwise maintain an in-house content creation team at reasonable costs, our in-house content creation capabilities would be negatively affected. Any deterioration in our in-house content creation capabilities may materially and adversely affect our business and operating results. If we are unable to offer high-quality original content in a cost-effective manner, our user experience may be adversely affected, and we may suffer from reduced user traffic. Our business, financial condition and results of operations may be materially and adversely affected as a result.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Deterioration or termination of cooperation with third-party professional content providers may have a material adverse impact on our business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Third-party professional content constitutes a meaningful part of our content offerings, and we intend to continue to attract and explore new partnership with third-party professional content providers. If we fail to maintain our relationship with them, or they fail to provide content of satisfactory quality upon terms commercially acceptable to us, we may lose a significant portion of high-quality content offerings, and as a result our brand and operations could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prospects and financial results may be affected by our relationship with third-party platforms.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distribute certain of our content through our accounts on leading third-party Internet and social networking platforms, including but not limited to Weixin, Weibo, Zhihu, Toutiao, Xinhua Net, Douyin and Bilibili. These third-party platforms enable us to effectively extend our user reach and enhance our influence. To the extent that we fail to leverage such third-party channels, our ability to attract or retain users may be harmed. If our relationship with these third-party platforms deteriorates or is terminated or we fail to establish or maintain relationships with them on commercially viable terms, we may not be able to quickly locate alternative channels. As a result, the aforementioned circumstances may limit our ability to continue growing our user base and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content provided on our platform is deemed to violate any PRC laws or regulations, our business, financial condition and results of operations may be materially and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China has enacted regulations governing Internet access and the distribution of news and other information over the Internet. Under these regulations, Internet content providers are prohibited from posting or displaying over the Internet content that, among other things, violates PRC laws and regulations, impairs the national dignity of China or the public interest, or is obscene, superstitious, fraudulent, violent or defamatory. Internet content providers are also prohibited from displaying content that may be deemed by relevant government authorities as “socially destabilizing” or leaking “state secrets” of China. In addition, certain news items, such as news relating to national security, may not be published without permission from the PRC regulatory authorities. If the PRC regulatory authorities were to take any action to limit or prohibit the distribution of information through our platform or our services, or to limit or regulate any current or future content or services available to users on our platform, our business could be significantly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operate discussion forums, blogs, comment section and user survey for our users to interact on our platform, such as expressing opinions, posting comments and discussing with each other, and thereby generating our user interactive content. We have implemented an efficient and thorough content screening and monitoring mechanism which involves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Failure to identify and prevent illegal or inappropriate content from being distributed on our platform may subject us to liability. To the extent that PRC regulatory authorities find any content on our platform objectionable, they may require us to limit or eliminate the dissemination of such content on our platform in the form of take-down orders or otherwise. In addition, PRC laws and regulations are subject to interpretation by the relevant authorities, and it may not be possible to determine in all cases the types of content that could result in our liability as a platform operator.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effective online advertising services, retain or acquire new online advertising services customers, or manage the credit risk of our customers, our financial condition, results of operations and prospects may be materially and adversely affected.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generate a majority of our revenues from online advertising services. Revenue generated from online advertising services accounted for 70.2%, 78.2% and 78.8% of our total revenues in 2023, 2024 and 2025, respectively. Our ability to generate and maintain our revenues from online advertising services depends on a number of factors, including our brand value, our user and customer base and competition in the online advertising services market. We cannot assure you that we will be able to retain or acquire online advertising services customers in the future or maintain or increase the pricing of online advertising services. For instance, if our online advertising services customers find that they can gain public attention more efficiently elsewhere, or if our competitors provide online advertising services that suit their goals better, we may lose our online advertising services customers. In addition, third parties may develop and use certain technologies to block the display of our online advertising services customers’ advertisements on our platform. As a result, we may lose our online advertising services customers or be forced to reduce our pricing as our customers’ advertising becomes less effective due to more limited reach, which in turn materially and adversely affects our results of operations. Additionally, if our online advertising services customers determine that their advertising expenditure on our platform does not generate expected returns, they may bargain with us for lower pricing or reduce or terminate cooperation with us. Furthermore, given most of our online advertising service agreements with customers are short-term contracts, our customers may reduce or discontinue cooperation with us easily without incurring material liabilities. In addition, if our customers are unable to pay us in a timely manner or any failure in managing such credit risk may adversely affect our liquidity and cash flows, which in turn has an adverse effect on our business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cybersecurity and data privacy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cybersecurity legal regime in China is relatively new and evolving rapidly, and their interpretation and enforcement involve significant uncertainties. As a result, it may be difficult to determine what actions or omissions may be deemed to be in violations of applicable laws and regulations in certain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Network operators in China are subject to numerous laws and regulations, and have the obligations to, among others, (i) establish internal security management systems that meet the requirements of the classified protection system for cybersecurity, (ii) implement technical measures to monitor and record network operation status and cybersecurity incidents, (iii) implement data security measures such as data classification, backups and encryption, and (iv) submit for cybersecurity review under certain circumstances.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Cyber Security Law, which imposes more stringent requirements on operators of “critical information infrastructure,” especially in data storage and cross-border data transfer.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together with several other PRC governmental authorities, jointly published the Measures for Cybersecurity Review, with effect from February 15, 2022. Pursuant to these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to the best of our knowledge, our business operations do not violate any of the above PRC laws and regulations currently in effect in material aspects. We have been taking, and will continue to take, reasonable measures to comply with such laws, regulations, announcement, provisions and inspection requirements. However, the interpretation and application of these cybersecurity laws, regulations and standards are evolving. We cannot assure you that governmental authorities will not interpret or implement these and other laws or regulations in ways that may negatively affect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regulation of Internet businesses and companies, including limitations on our ability to own key assets such as our platform.</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Chinese government heavily regulates the Internet industry, including foreign investment in the Chinese Internet industry, content on the Internet and license and permit requirements for services providers in the Internet industry. Since some of the laws, regulations and legal requirements with respect to the Internet are relatively new and evolving, their interpretation and enforcement involve significant uncertainties.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Due to the increasing popularity and use of the Internet and other online services, it is possible that a number of laws and regulations may be adopted with respect to the Internet or other online services covering issues such as user privacy, pricing, content, copyrights, distribution, antitrust and characteristics and quality of products and services. The adoption of additional laws or regulations may impede the growth of the Internet or other online services, which could, in turn, decrease the demand for our content and services and increase our cost of doing business. Moreover, the applicability to the Internet and other online services of existing laws in various jurisdictions governing issues such as property ownership, sales and other taxes, libel and personal privacy is uncertain and may take years to resolve. Any new legislation or regulation, the application of laws and regulations from jurisdictions whose laws do not currently apply to our business, or the application of existing laws and regulations to the Internet and other online services could significantly disrupt our operations or subject us to penalties.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PRC regulatory authorities have taken steps to strengthen the regulation on cybersecurity and data protection. On June 10, 2021, the Standing Committee of the National People’s Congress promulgated the PRC Data Security Law, effective on September 1, 2021. On August 20, 2021, the Standing Committee of the National People’s Congress promulgated the PRC Personal Information Protection Law, which became effective on November 1, 2021. On December 28, 2021, the CAC published the Revised Cybersecurity Review Measures, effective on February 15, 2022 and repealed the Cybersecurity Review Measures promulgated on April 13, 2020. Such Measures further restate and expand the applicable scope of the cybersecurity review.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In addition, network platform operators holding over one million users’ personal information shall apply with the Cybersecurity Review Office for a cybersecurity review before conducting any public offering in a foreign country. On July 30, 2021, the state council promulgated the Regulations on Protection of Critical Information Infrastructure, which became effective on September 1, 2021. On December 31, 2021, the CAC published the Administrative Provisions on Internet Information Service Algorithm Recommendation on its website, effective on March 1, 2022. These newly promulgated laws and regulations reflect PRC government further attempts to strengthen the legal protection for the national network security, data security, the security of key information infrastructure and the security of personal information protection. See “Item 4. Information on the Company-4.B. Business Overview-Regulation-Regulation on Cybersecurity and Censorship” for details on regulations over data protection and privacy in the PRC.</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been taking and will continue to take reasonable measures to comply with such laws, regulations, announcements, provisions and inspection requirements; however, as such laws, regulations, announcement and provisions are relatively new, it remains uncertain how these announcements and provisions will be implemented. We cannot assure you we can adapt our operations to it in a timely manner. Evolving interpretations of such laws, regulations, announcements and provisions or any future regulatory changes might impose additional restrictions on us generating and processing personal and behavioral data. We may be subject to additional regulations, laws and policies adopted by the PRC government to apply more stringent social and ethical standards in data privacy resulting from the increased global focus on this area. To the extent that we need to alter our business model or practices to adapt to these announcements and provisions and future regulations, laws and policies, we could incur additional expenses.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interpretation and application of existing PRC laws, regulations and policies, the stated positions of relevant PRC government authorities and possible new laws, regulations or policies have created uncertainties regarding the legality of existing and future foreign investments in, and the businesses and activities of, Internet businesses in China, including our business. In addition, the direct shareholders of the VIE are PRC incorporated entities rather than PRC individuals. Therefore, the upward ownership structure and ultimate beneficial parties of such shareholders may vary from time to time, and we or the VIE may not be informed or aware of such variations. If any such change results in direct or indirect foreign stake in any of the shareholders of the VIE, the VIE may not be eligible for maintaining certain existing licenses to operate business where foreign investment is prohibited or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Internet news information license may expose us to administrative sanctions, which would materially and adversely affect our business, results of operations and financial condition.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PRC government regulates the Internet industry extensively, including foreign ownership of, and the licensing requirements pertaining to, companies in the Internet industry. A number of regulatory agencies, including the Ministry of Culture and Tourism, or the MOCT, the Ministry of Industry and Information Technology, or the MIIT, the Cyberspace Administration of China, or CAC, the National Radio and Television Administration, or the NRTA (previously known as the State Administration of Press Publication, Radio, Film and Television, or the SAPPRFT), the State Council Information Office, or the SCIO, and other governmental authorities, jointly regulate all major aspects of the Internet industry. Operators are required to obtain various government approvals and licenses prior to providing the relevant Internet information services.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content provided on our platform, including New Economy-focused industry reports, market updates, flash updates, columns and interviews, may be deemed to be news information content. Pursuant to the Provisions for the Administration of Internet News Information Services issued by the national CAC on May 2, 2017 that became effective on June 1, 2017, an Internet news information license shall be obtained for a provider of Internet news information services to the public in a variety of ways, including forwarding Internet news information and offering of platforms for the dissemination of Internet news information. As such, we may be required to obtain an Internet news information license from CAC for our business. In practice, competent Internet news information services providers that are not state-owned, such as our company, may need to introduce a state-owned shareholder in order to facilitate the application and approval process for the Internet news information license. See “Item 4. Information on the Company—4.B. Business Overview—Regulation—Regulation on Internet News Services.”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according to the Provisions for the Administration of Internet News Information Services, those that apply for a license for Internet news information collecting, editing and publishing services shall be news agencies (including the entities held thereby) or the entities under the charge of news publicity authorities. Internet news information services providers should separate their news collection and editing services from other operational businesses and non-state-owned capitals shall not engage in services of collecting and editing Internet news information. We are not a news agency or a state-owned entity engaging in services of collecting and editing Internet news information. As such, we may not be permitted to collect and edit Internet news information. As a result, the CAC or its applicable office at the provincial level may, at its sole discretion, order us to cease relevant operations, and impose a fine of more than RMB10,000 and less than RMB30,000; where a crime is constituted, it shall be subject to criminal liabilities.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plan to apply for the Internet news information license from the CAC through the VIE when it is feasible to do so. As advised by our PRC legal advisor, current requirements for applying the Internet news information license include, among others, having a state-owned shareholder. As of the date of this annual report, we are not eligible to apply for such license. We cannot predict when we can be eligible, or when such requirements will be eased so that we can be eligible to apply for the Internet news information license. However, even if we are eligible to apply, there can be no assurance that our application will be accepted or approved by the CAC. In the event we fail to obtain the Internet news information license, we may be ordered to suspend relevant business, and our results of operations and financial condition could be materially and adversely affected. As of the date of this annual report, we are not in the process of applying for the Internet news information license, and we have not received any notice of warning or been subject to any material administrative penalties or other disciplinary actions from the relevant government authorities for lack of the Internet news information license. However, in the past, CAC ordered certain PRC companies to suspend their online content offerings for a certain period of time due to their lack of Internet news information license. As such, we cannot assure you that we will not be subject to similar or other penalties, such as any warning, investigations, suspension of some or all of our content offerings or other penalties that may materially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Internet audio-visual program transmission license may expose us to administrative sanctions, which would materially and adversely affect our business, results of operations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Administrative Provisions on Internet Audio-visual Program Service, or the Audio-visual Program Provisions, which was issued by the MIIT and the State Administration of Radio, Film and Television, or the SARFT (the predecessor of SAPPRFT) on December 20, 2007 and came into effect on January 31, 2008 and was amended on August 28, 2015, online transmission of audio and video programs requires an Internet audio-visual program transmission license and online audio-visual services providers must be either wholly state-owned or state-controlled. In a press conference jointly held by SARFT and MIIT to answer questions with respect to the Audio-visual Program Provisions in February 2008, SARFT and MIIT clarified that online audio-visual services providers that had already been operating lawfully prior to the issuance of the Audio-visual Program Provisions may re-register and continue to operate without becoming state-owned or controlled, provided that such providers have not engaged in any unlawful activities. This exemption will not be granted to online audio-video services providers established after the Audio-visual Program Provisions were issued. See “Item 4. Information on the Company-4.B. Business Overview-Regulation-Regulations on Internet Audio-visual Program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provide our content in various formats, including audio and video, on our platform and several third party’s platforms. If such content offerings are considered as online transmission of audio and video programs, we may be required to obtain the Internet audio-visual program transmission license. As advised by our PRC legal advisor, current requirements for applying the Internet audio-visual program transmission license include, among others, being a state-owned or a state-controlled entity. As of the date of this annual report, we are not eligible to apply for such license. We cannot predict when we can be eligible, or when such requirements will be eased so that we can be eligible for applying the Internet audio-visual program transmission license. We plan to apply for the Internet audio-visual program transmission license when it is feasible to do so. If the relevant regulatory authorities find our operations to be in violation of the applicable laws and regulations, we may receive a warning and be ordered to rectify such non-compliance and pay a fine of not more than RMB30,000. In severe cases, we may be ordered to cease transmission of audio and video programs, be subject to a penalty equal to one to two times our total investment in the affected business and the devices we used for such operation may be confiscated. Furthermore, according to the Audiovisual Program Provisions, the telecommunications administrative authorities may, based on written opinions of the SARFT, and in accordance with the relevant laws and regulations on supervision of telecommunications and Internet, close our platform, revoke the relevant license or filings for the provision of Internet information service and order the relevant network operation entity which provides us signal access services to stop such provision of services. As of the date of this annual report, we are not in the process of applying for the Internet audio-visual program transmission license, and we have not received any notice of warning or been subject to any material administrative penalties or other disciplinary actions from the relevant governmental authorities for lack of the Internet audio-visual program transmission license. However, in the past, the relevant governmental authorities penalized certain PRC companies due to their lack of Internet audio-visual program transmission license. As such, we cannot assure you that we will not be subject to any warning, investigations into suspension of some of our content offerings or other penalties that may materially and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Internet publishing license may expose us to administrative sanctions, which would materially and adversely affect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4, 2016, the SAPPRFT and the MIIT jointly issued the Rules for the Administration for Internet Publishing Services, or the Internet Publishing Rules, which took effect on March 10, 2016, and prohibit wholly foreign-owned enterprises, Sino-foreign equity joint ventures and Sino-foreign cooperative enterprises from engaging in the provision of web publishing services. Under these rules, providers of online publications are required to hold an Internet publishing license. However, uncertainty remains regarding the interpretation of relevant concepts, including “online publications” under the current PRC laws and regulations. Although we have not been required by the General Administration of Press and Publication or other relevant authorities to obtain the Internet publishing license as of the date of this annual report, we may face further scrutiny by such authorities, and they may require us to apply for such license or subject us to penalties. In addition, cooperation between Internet publishing services providers and wholly foreign-owned enterprises, Sino-foreign equity joint ventures, or Sino-foreign cooperative enterprises within China or overseas organizations or individuals engaging in Internet publishing business shall be subject to examination and approval by the General Administration of Press and Publication in advance. See “Item 4. Information on the Company-4.B. Business Overview-Regulation-Regulations on Internet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provision of our in-house-generated content, in the forms of articles, pictures, audio and video clips, on our online platform is considered “online publishing”, we may be required to obtain the Internet publishing license. If the relevant regulatory authorities find our operations without an Internet publishing license to be in violation of the applicable laws and regulations, such regulatory authorities may order us to cease relevant operations or close our platform or confiscate the devices we used for such operations. If our revenue from such violation is less than RMB10,000, the relevant regulatory authorities may impose a fine of less than RMB50,000. If our revenue from such violation is RMB10,000 or above, such regulatory authorities may impose a fine equivalent to five to ten times of our revenue from the violation. In addition to the administrative penalties, our operation without the Internet publishing license may also subject us to civil and criminal liabilities.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planning to apply for the Internet publishing license for our business operation, and we have been continuously communicating with the competent authorities and will apply for it when it is feasible to do so. As advised by our PRC legal advisor, current requirements for applying the Internet publishing license include, among others, having a certain number of employees with technical and vocational qualifications for the profession of publishing and other related professions as approved by the SAPPRFT. As of the date of this annual report, we are not eligible to apply for such license. We cannot predict when we can be eligible, or when such requirements will be eased so that we can be eligible to apply for the Internet publishing license. However, even if we are eligible to apply, there can be no assurance that the application will be accepted or approved by the relevant regulatory authorities. As of the date of this annual report, we are not in the process of applying for the Internet publishing license as our employees are still in the process of obtaining the requisite qualifications and we cannot predict when such qualifications will be obtained. In addition, we have not received any notice of warning or been subject to material administrative penalties or other disciplinary actions from the relevant governmental authorities for lack of the license, which have had a material adverse impact on our business. However, we cannot assure you that we will not be subject to any warning, investigations, suspension of some or all of our content offerings or other penalties that may materially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Advertisements on our platform may subject us to penalties and other administrative actions.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PRC advertising laws and regulations, we are obligated to monitor the advertising content shown on our platform to ensure that such content is true, accurate and in full compliance with applicable laws and regulations. In addition, where a special government review is required for specific types of advertisements prior to posting, such as advertisements relating to pharmaceuticals, medical instruments, agrochemicals and veterinary pharmaceuticals, we are obligated to confirm that such review has been performed, and approval has been obtained from competent government authorities. To fulfill these monitoring functions, we typically include clauses in our online advertising contracts requiring that all advertising content provided by online advertising services customers must comply with relevant laws and regulations. Under PRC law, we may have claims against online advertising services customers for all damage caused by their breach of such representations. Violation of these laws and regulations may subject us to penalties, including fines, confiscation of our online advertising income, orders to cease dissemination of the advertisements and orders to publish an announcement correcting the misleading information. In circumstances involving serious violations, such as posting a pharmaceutical product advertisement without approval, or posting an advertisement for fake pharmaceutical product, PRC regulatory authorities may force us to terminate our online advertising operation or revoke our licenses. See “Item 4. Information on the Company-4.B. Business Overview-Regulation-Regulations on Online Advertising Services.”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majority of the advertisements shown on our platform are provided to us by third parties. Although we have implemented automated and manual content monitoring systems and significant efforts have been made to ensure that the advertisements shown on our platform are in full compliance with applicable laws and regulations, we cannot assure you that all the content contained in such advertisements is true, accurate and legitimate as required by the advertising laws and regulations, especially given the uncertainty in the application of these laws and regulations. The inability of our systems and procedures to adequately and timely discover such evasions may subject us to regulatory penalties or administrative sanctions. Although we have not been subject to material penalties or administrative sanctions in the past for the advertisements shown on our platform, if we are found to be in violation of applicable PRC advertising laws and regulations in the future, we may be subject to penalties and our reputation may be harmed, which may have a material and adverse effect on our business, financial condition, results of operations and prospects. See “Item 4. Information on the Company—4.B. Business Overview—Regulation—Regulations on Online Advertising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in major aspects of our business. If we are unable to compete effectively in the industry we operate, our business, results of operations and financial condition may be materially and adversely affected.</w:t>
      </w:r>
    </w:p>
    <w:p>
      <w:pPr>
        <w:spacing w:after="0" w:line="15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The New Economy-focused business services market is highly competitive. Our online advertising services face competition from other content-based online advertising services providers as well as technology channels of major Internet information portals, such as Sina and Tencent News. For our enterprise value-added services, we face competition from other New Economy-focused enterprise value-added services providers as well as traditional marketing, consulting and public relation companies. We also compete with paid content services providers and offline training agencies with respect to our subscription services. We also face competition from traditional advertising media. If we cannot effectively compete with these platforms and distribution channels for marketing budgets of our existing and potential customers, our results of operations and growth prospects could be adversely affected.</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competition is primarily centered on increasing user traffic, user engagement and brand recognition, as well as customer acquisition and retention, among other factors. Some of our competitors have longer operating histories and significantly greater financial resources than we do, which may allow them to attract and retain more users and customers. Our competitors may compete with us in a variety of ways, including by offering popular content, introducing new business services, conducting more aggressive brand promotions and other marketing activities and through investments and acquisitions. If any of our competitors achieve greater market acceptance or is able to offer more attractive content and business services than us, our user traffic, customer acquisition and retention, brand value and market share may decrease, which may have a material and adverse effect on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conduct our marketing activities cost-effectively, our results of operations and financial condition may be materially and adversely affected.</w:t>
      </w:r>
    </w:p>
    <w:p>
      <w:pPr>
        <w:spacing w:after="0" w:line="15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have incurred expenses on a variety of marketing and branding activities. In 2023, 2024 and 2025, we incurred RMB127.5 million, RMB82.6 million, and RMB66.4 million (US$9.5 million) in sales and marketing expenses, accounting for 37.5%, 35.7% and 29.1% of our total revenues, respectively. Our marketing and branding activities may not be well received, successful or cost-effective, which may lead to significantly higher marketing expenses in the future. We may also not be able to continue our existing marketing and branding activities. Failure to refine our existing marketing strategies or introduce new effective marketing strategies in a cost-effective manner could impact on our business operations and financial performance.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provided on our platform may expose us to libel or other legal claims which may result in costly legal damages.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Claims may be threatened and filed against us for libel, defamation, invasion of privacy, intellectual property right infringements and other theories based on the nature and content of the information distributed on our platform. While we screen our content for such potential liability, there is no assurance that our screening process will identify all potential liability, especially liability arising from our user interactive content and content we source from third parties. In the past, there was no claim brought against us which resulted in material liability, but we cannot assure you we will not be subject to future claims that could be costly, encourage similar lawsuits, distract our management team and harm our reputation and possibly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use of generative AI may involve complex intellectual property issues. As the applicable laws and regulations in mainland China are still evolving and subject to further interpretation and implementation, AI-generated content could lead to copyright and other legal disputes, which could undermine the effectiveness of AI and subject us to liabilities and potential reputational harm. Although we believe that we have taken necessary measures according to the applicable laws, we cannot guarantee that we will always meet the regulatory requirements. If we fail to meet legal and regulatory requirements, we may be subject to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our business and prospects may be materially and adversely affected.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since our incorporation in 2016. To manage our business expansion, we need to continuously expand and enhance our infrastructure and technology, and improve our operational and financial systems, procedures and internal controls. We cannot assure you that our current and planned personnel, infrastructure, systems, procedures and controls will be adequate to support our expanding operations. We may be required to spend more on sales and marketing in order to support any such expansion and our efforts may not be effective. If we fail to manage our expansion effectively or efficiently, our business and results of operations may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challenges in expanding our international and local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our diversified distribution channels to deliver our content to users in a cost-effective and timely manner. Specifically, we collaborate with established overseas and local media companies in setting up overseas and local stations. On the one hand, we face risks associated with expanding into new regions and markets in which we have limited or no experience and in which our brand may be less known. We may be unable to attract a sufficient number of users and other participants through our overseas and local stations. We may face fierce competition from overseas and local markets or other difficulties in operating effectively in these new markets. On the other hand, our international expansion and local penetration will also expose us to risks such as increased demands on management, operational and financial resources, different regulatory compliance requirements and exchange rate fluctuations, among others. One or more of these factors could adversely impact our international and local operations. Accordingly, any efforts we make to expand our international and local operations may not be successful.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investments in and acquisitions of complementary assets, technologies and businesses may fail and may result in equity or earnings dilution.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invest in or acquire assets, technologies and businesses that are complementary to our existing business. Our investments or acquisitions may not yield the results we expect. In addition, investments and acquisitions could result in the use of substantial amounts of cash, potentially dilutive issuances of equity securities, significant amortization expenses related to goodwill or intangible assets and exposure to potential unknown liabilities of the acquired business. Furthermore, if such goodwill or intangible assets become impaired, we may be required to record a significant charge to our results of operations. Such investments and acquisitions may also require our management team to devote a significant amount of attention. Moreover, the cost of identifying and consummating investments and acquisitions, and integrating the acquired businesses into ours, may be significant, and the integration of acquired businesses may be disruptive to our existing business operations. In addition, we may have to obtain approval from the relevant PRC governmental authorities for the investments and acquisitions and comply with any applicable PRC rules and regulations, which may be costly. In the event our investments and acquisitions are not successful, our results of operations and financial condition may be materially and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recorded negative cash flows from operating activities historically. We may need additional capital, and we may be unable to obtain such capital in a timely manner or on acceptable terms, or at 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cash outflow from operating activities in history. We recorded net cash used in operating activities of RMB122.2 million in 2023, net cash used in operating activities of RMB33.0 million in 2024, and net cash provided by operating activities of RMB19.0 million (US$2.7 million) in 2025. The cost of continuing operations could further reduce our cash position, and an increase in our net cash outflow from operating activities could adversely affect our operations by reducing the amount of cash available to meet the capital needs for our daily operation and future business expansion. Our ability to obtain additional capital is subject to a variety of uncertainties, including:</w:t>
      </w:r>
    </w:p>
    <w:p>
      <w:pPr>
        <w:spacing w:after="0" w:line="1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market position and competitiveness in the New Economy-focused business services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future profitability, overall financial condition, results of operations and cash flows.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market conditions for capital raising activities by New Economy and other Internet companies in China;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economic, political and other conditions in China and internationally.</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be unable to obtain additional capital in a timely manner or on acceptable terms or at all. In addition, due to future capital needs and other business reasons, we may need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collect accounts receivable from our customers in a timely manner, our business operations and financial results may be materially and adversely affected.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receivables are generally non-interest bearing and are on terms between 90 to 270 days. In some cases, these terms are extended for certain qualifying long-term customers who have met specific credit requirements. We generally make a credit assessment of our customers before entering into an agreement with them. Nevertheless, we cannot assure you that we are or will be able to accurately assess the creditworthiness of each customer. Furthermore, the financial soundness of our customers, which is beyond our control, may affect our collection of accounts receivable. Any delay in payment or failed payment may adversely affect our liquidity and cash flow, which in turn has a material adverse effect on our business operations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continued and collaborative efforts of our senior management and key employees are crucial to our success, and our business may be harmed if we lose their services.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on the continued and collaborative efforts of our senior management. If, however, one or more of our executives or other key personnel are unable or unwilling to continue to provide services to us, we may not be able to find suitable replacements easily or at all. Competition for management and key personnel is intense, and the pool of qualified candidates is limited. We may not be able to retain the services of our executives or key personnel or attract and retain experienced executives or key personnel in the future. If any of our executive officers or key employees join a competitor or forms a competing business, we may lose crucial business secrets, technological know-hows, customers and other valuable resources.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by third parties for information or content distributed on our platform, which may be expensive to defend and may materially and adversely affect our business, financial condition and prospects.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operate our business without infringing third-party rights, including third-party intellectual property rights. Companies on the Internet, technology and media industries own, and are seeking to obtain, a large number of patents, copyrights, trademarks and trade secrets, and they are frequently involved in litigation based on allegations of infringement or other violations of intellectual property rights or other related legal rights. The validity, enforceability and scope of protection of intellectual property rights in Internet-related industries, particularly in China, are uncertain and still evolving. As we face increasing competition and as litigation becomes more common in China in resolving commercial disputes, we face a higher risk of being the subject of intellectual property infringement claims.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our content screening and monitoring mechanism screens are content for potential copyright infringements, we may not be able to identify all instances of copyright infringement, especially those arising from professional content we source from third parties. For example, content providers may submit copyrighted content that they have no right to distribute. In the event we deliver content that violates the copyrights of a third party, we may be required to pay damages to compensate such third party. In addition, our platform allows our users to voice their opinions, express their views, discuss with each other and provide feedback on our content. Content posted by our users may expose us to allegations by third parties of infringement of intellectual property rights, invasion of privacy, defamation and other violations of third-party rights. Pursuant to our user agreement, users agree not to post any content that is illegal, obscene or may otherwise violate generally accepted codes of ethics. We have also implemented automated and manual reviews of the content on our platform. However, there is no assurance that we can identify and remove all potentially infringing content uploaded by our users. As a result, our business, results of operations and financial condition could be materially and adversely affected.</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Third parties may take action and file claims against us if they believe that certain content on our site violates their copyrights or other related legal rights. We have been, and may in the future be, subject to such claims in the PRC.</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operate our platform primarily through the VIE and its subsidiaries, and our ability to monitor content as described above depends in large part on the experience and skills of the management of, and our control over, those consolidated affiliated entities. Our control over the management and operations of our consolidated affiliated entities through contractual arrangements may not be as effective as that through direct ownership. See “Risks Related to Our Corporate Structure—We rely on contractual arrangements with the VIE and its shareholders to operate our business, which may not be as effective as direct ownership in providing operational control and otherwise materially and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have not been subject to claims or lawsuits with respect to copyright infringement outside of China, we cannot assure you that we will not become subject to copyright laws or legal proceedings initiated by third parties in other jurisdictions, such as the United States, as a result of the ability of users to access our content in the United States and other jurisdictions, the ownership of the ADSs by investors in the United States and other jurisdictions, the extraterritorial application of foreign law by foreign courts, the fact that we sub-licensed content from licensors who in turn obtained their authorizations from content providers in the United States and other jurisdictions or otherwise. In addition, as a publicly listed company, we may be exposed to increased risk of litigation. If a claim of infringement brought against us in the United States or other jurisdictions is successful, we may be required to, upon enforcement, (i) pay substantial statutory or other damages and fines, (ii) remove relevant content from our platform or (iii) enter into royalty or license agreements which may not be available on commercially reasonable terms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prevent others from unauthorized use of our intellectual property, which could cause us to be less competitive and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trademark and other intellectual property laws and confidentiality agreements and other measures to protect our intellectual property rights. Despite our efforts to protect our proprietary rights, unauthorized parties may attempt to copy or otherwise obtain and use our copyrighted content and other intellectual property. Monitoring such unauthorized use is difficult and costly, and we cannot be certain that the steps we have taken will prevent misappropriation. From time to time, we may have to resort to litigation to enforce our intellectual property rights, which could result in substantial costs and diversion of our resources. The PRC has historically afforded less protection to a company’s intellectual property than the United States and the Cayman Islands, and therefore companies such as ours operating in the PRC face an increased risk of intellectual property piracy.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become a party to litigation, legal disputes, claims or administrative proceedings that may materially and adversely affect 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from time to time become a party to various litigations, legal disputes, claims or administrative proceedings arising in the ordinary course of our business. We may also get involved in legal disputes, claims or litigation in connection with our major corporate actions. For example, in connection with our reorganization in August 2019, shareholders of Xieli Zhucheng are entitled to designate an entity to subscribe for and/or receive shares of our company reflecting their respective indirect ownership percentages in the VIE before completion of the reorganization. A certain shareholder of Xieli Zhucheng, however, has not officially responded to Xieli Zhucheng’s request for such designation. As such, Xieli Zhucheng designated an offshore entity to hold the shares that such shareholders are entitled to receive in the reorganization, which represents approximately 1.5% of our total outstanding shares as of the date of this annual report, pending further instructions from such shareholders. We cannot assure you, however, that such shareholder will be satisfied with such arrangement or will not file any claim or lawsuit against Xieli Zhucheng or us to claim for damages or even challenge the validity of the reorganization and our contractual arrangements with the VIE.</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predict the outcome of any litigation, legal disputes, claims or administrative proceedings. If any verdict or award is rendered against us or if we decide to settle the disputes, we may be required to incur monetary damages or other liabilities. Even if we can successfully defend ourselves, we may have to incur substantial costs and spend substantial time and effort in these lawsuits. Negative publicity relating to litigation, legal disputes, claims or administrative proceedings may damage our reputation and adversely affect the image of our brand and services. Furthermore, any litigation, legal disputes, claims or administrative proceedings which are not of material importance may escalate due to the various factors involved, such as the facts and circumstances of the cases, the likelihood of winning or losing, the monetary amount at stake, and the parties concerned continue to evolve in the future, and such factors may result in these cases becoming of material importance to us. Consequently, any ongoing or future litigation, legal disputes, claims or administrative proceedings could materially and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harmed by service disruptions, or by our failure to timely and effectively scale and adapt our existing technology and infrastructure.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and may experience in the future, service disruptions, outages and other performance problems due to a variety of factors, including infrastructure changes, human or software errors, hardware failure, capacity constraints due to an overwhelming number of people accessing our services simultaneously, computer viruses and denial of service, fraud and security attacks.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the number of our users increases and as we continue to diversify into new content formats, we may be required to expand and adapt our technology and infrastructure to continue to reliably store, analyze and deliver content. It may become increasingly difficult to maintain and improve the performance of our services, especially during peak usage times, as our services become more complex and our user traffic increases. If our users are unable to access our platform or we are not able to make information available rapidly on our platform, or at all, users may become frustrated and seek other channels for their New Economy-focused content and may not return to our platform or use our platform as often in the future, or at all. This would negatively impact our ability to attract users and maintain high level of user engagement as well as our ability to attract online advertising services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fixed telecommunications networks in China. Any malfunction, capacity constraint or operation interruption may have an adverse impact on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control and regulatory supervision of the MIIT. Moreover, we primarily rely on a limited number of telecommunication services providers to provide us with data communications capacity. We have limited access to alternative networks or services in the event of disruptions, failures or other problems with China’s Internet infrastructure or the telecommunications networks provided by telecommunications services providers. With the expansion of our business, we may be required to upgrade our technology and infrastructure to keep up with the increasing traffic on our platform. However, we have no control over the costs of the services provided by telecommunications services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relating to our services and the use of user information could damage our reputation, deter current and potential users and customers from using our services and negatively impact on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collect personal data from our users in order to better study and predict the preferences and demands of our users, and in turn tailor and recommend our content offerings accordingly. Concerns about the collection, use, disclosure or security of personal information or other privacy-related matters, even if unfounded, could damage our reputation, cause us to lose users and customers and adversely affect our business, results of operations and financial condition. While we strive to comply with applicable data protection laws and regulations, as well as our own posted privacy policies and other obligations we may have with respect to privacy and data protection, the failure or perceived failure to comply may result, and in some cases has resulted, in inquiries and other proceedings or actions against us by government agencies or others, as well as negative publicity and damage to our reputation and brand, each of which could cause us to lose users and customers, which could have an adverse effect on our business.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systems failure or compromise of our security that results in unauthorized access to or release of our users’ or customers’ data could significantly limit the adoption of our services, as well as harm our reputation and brand and, therefore, our business. We expect to continue to expend significant resources to protect against security breaches. The risk that these types of events could seriously harm our business is likely to increase as we expand the number of products and services we offer and expand our user base.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New laws or regulations concerning data protection, or the interpretation and application of existing consumer and data protection laws or regulations, which are often uncertain and in flux, may be inconsistent with our practices. Complying with new laws and regulations could cause us to incur substantial costs or require us to change our business practices in a manner materially adverse to our business. See “Item 4. Information on the Company—4.B. Business Overview—Regulation—Regulation on Privacy Protection.”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services involve the storage and transmission of users’ information, and security breaches expose us to a risk of loss of this information, litigation and potential liability. Our user data is encrypted and saved on cloud-based servers, protected by access control, and further backed up in long-distance servers, so as to minimize the possibility of data loss or breach. Upon security breach, our technical team will be notified immediately and diagnose and solve the technical problems. As of the date of this annual report, we have not experienced any material incidents of security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Despite the security measures we have implemented, we may experience cyber-attacks of varying degrees, including attempts to hack into our user accounts or redirect our user traffic to other websites. Functions that facilitate interactivity with other mobile applications, which among other things allow users to log into our platform using their accounts or identities, could increase the scope of access of hackers to user accounts. Our security measures may also be breached due to employee error, malfeasance or otherwise. Additionally, outside parties may attempt to fraudulently induce employees or users to disclose sensitive information in order to gain access to our data or our users’ data or accounts or may otherwise obtain access to such data or accounts. Any such breach or unauthorized access could result in significant legal and financial exposure, damage to our reputation and a loss of confidence in the security of our services that could have an adverse effect on our business, results of operations and financial condition.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an actual or perceived breach of our security occurs, the market perception of the effectiveness of our security measures could be harmed, we could lose users and we may be exposed to significant legal and financial risks, including legal claims and regulatory fines and penalties. Any of these actions could have a material and adverse effect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dependence on a limited number of customers may cause significant fluctuations or declines in our revenues.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considerable portion of our revenues is derived from a limited number of our customers. For details, see Note 4 “Concentrations and Risks” to our consolidated financial statements. Some of our customers may choose to place orders to us via third-party agencies, through which we provided advertising and other services to various enterprises they represent. There are inherent risks whenever a large percentage of total revenues are concentrated with a limited number of customers or agencies. It may not be possible for us to predict the future level of demand for our services by our largest customers. Actions taken by our largest customers to exploit their comparably superior bargaining position when negotiating for renewals of services agreements or otherwise could also have an adverse effect on our results of operations. In addition, revenues from the largest customers may fluctuate from time to time for reasons beyond our control. There can be no assurance that we can maintain relationships with our largest customers on commercially desirable terms. If any of the foregoing were to occur, we could be pressured to reduce the prices we charge for our services or risk losing our largest customers, which could have an adverse effect on our revenues and margins, and could negatively affect our financial position and results of operations and/or trading price of the ADSs.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user and customer operating metrics and other estimates are subject to inherent challenges in measuring our operating performance, which may harm our reputation.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regularly review our operating metrics in relation to our users and customers to evaluate growth trends, measure our performance, and make strategic decisions. These metrics are calculated using our internal data as well as third-party platform’s data, have not been validated by an independent third party, and may not be indicative of our future operation results. While these numbers are based on what we believe to be reasonable estimates for the applicable period of measurement, there are inherent challenges in measuring how our platform is used across a large population in China. For example, we may not be able to distinguish individual users who have multiple registered accounts across our self-operated platforms and third-party platforms. Errors or inaccuracies in our metrics or data could result in incorrect business decisions and inefficiencies. For instance, if a significant understatement or overstatement of active users were to occur, we might expend resources to implement unnecessary business measures or fail to take required actions to remedy an unfavorable trend. If online advertising services customers or investors do not perceive our user or other operating metrics to accurately represent our user base, or if we discover inaccuracies in our user or other operating metrics, our reputation may be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over financial reporting, we may be unable to accurately or timely report our results of operations or prevent fraud, and investor confidence and the trading price of the ADSs may be materially and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course of auditing our consolidated financial statements as of and for the year ended December 31, 2025, we and our independent registered public accounting firm identified one material weakness in our internal control over financial reporting and other control deficiencies. The material weakness identified is our lack of sufficient competent financial reporting and accounting personnel with appropriate understanding of U.S. GAAP to design and implement formal period-end financial reporting controls and procedures to address U.S. GAAP technical accounting issues, and to prepare and review the consolidated financial statements and related disclosures in accordance with U.S. GAAP and financial reporting requirements set forth by the SEC. We are in the process of implementing a number of measures to address the identified material weakness and control deficiencies. However, we cannot assure you that these measures may fully address or remediate the material weakness and control deficiencies.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in the United States, we are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ending December 31, 2020. In addition, when a company meets the SEC’s criteria, an independent registered public accounting firm must attest to and report on the effectiveness of the company’s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conclude that our internal control over financial reporting is not effective.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 which could expose us to significant costs and business disruption.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Insurance companies in China offer limited business insurance products. We do not have any business liability or disruption insurance coverage for our operations in China. Any business disruption may result in our incurring substantial costs and the diversion of our resources, which could have an adverse effect on our results of operations and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which makes our results of operations difficult to predict and may cause our quarterly results of operations to fall short of expectations.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may continue to fluctuate depending upon a number of factors, many of which are out of our control. Our operating results tend to be seasonal. For instance, advertising and marketing activities tend to be less active during the first quarter, which is Chinese New Year holiday season. As compared to the first quarter, our online advertising services customers tend to increase advertising and marketing spending near the end of each calendar year when they spend their remaining annual budgets. Moreover, as most of our online/ offline events are hosted in the fourth quarter of each year, we also experience increase in revenues during the fourth quarter of each year for our enterprise value-added services. For these reasons, comparing our operating results on a period-to-period basis may not be meaningful, and you should not rely on our past results as an indication of our future performance. Our quarterly and annual revenues and costs and expenses as a percentage of our revenues in a given period may be significantly different from our historical or projected rates and our operating results in future quarters may fall below expectations.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have an adverse effect on our future profit.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Xieli Zhucheng adopted a share incentive plan in 2014, or the 2014 Share Incentive Plan and Beijing Duoke adopted a share incentive plan in December 2016, or the 2016 Share Incentive Plan, to enhance its ability to attract and retain exceptionally qualified individuals and to encourage them to acquire a proprietary interest in the growth and performance of us. In September 2019, 36Kr Holdings Inc. adopted a share incentive plan, which we refer to as the 2019 Share Incentive Plan. The 2014 Share Incentive Plan and 2016 Share Incentive Plan were canceled concurrently upon the adoption of the 2019 Share Incentive Plan, and each participant of the 2014 Share Incentive Plan and 2016 Share Incentive Plan received corresponding grants of options under the 2019 Share Incentive Plan. In June 2021, we amended the 2019 Incentive Plan with the approval of the board of directors, pursuant to which the maximum aggregate number of ordinary shares which may be issued pursuant to all awards under the 2019 Share Incentive Plan is 162,186,000. In March 2026, we amended the 2019 Incentive Plan with the approval of the board of directors, pursuant to which the maximum aggregate number of ordinary shares which may be issued pursuant to all awards under the 2019 Share Incentive Plan is 296,556,000. See “Item 6. Directors, Senior Management and Employees—6.B. Compensation—Share Incentive Plan.”</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2023, 2024 and 2025, we recorded expenses RMB4.7 million, gains RMB0.2 million and expenses RMB13.4 thousand(US$1.9 thousand), respectively, in share-based compensation expenses. We believe the granting of share-based awards is significant for us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severe and prolonged global economic recession and the slowdown in the Chinese economy may adversely affect our business, results of operations and financial condition.</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global macroeconomic environment is facing challenges, including the ongoing trade disputes and tariffs and recent Russia-Ukraine crisis. The growth of the Chinese economy has slowed down since 2012 compared to the previous decade and the trend may continue. There is considerable uncertainty over the long-term effects of the monetary and fiscal policies adopted by the central banks and financial authorities of some of the world’s leading economies, including the United States and China. There have been concerns over unrest and terrorist threats in the Middle East, Europe and Africa. There have also been concerns on the relationship between China and other countries, including surrounding Asian countries, which may potentially lead to foreign investors closing down their businesses or withdrawing their investments in China and, thus, exiting the China market, and other economic effects. In addition, there have also been concerns on the relationship between China and the U.S. following rounds of tariffs imposed by the U.S. and retaliatory tariffs imposed by China. It is unclear whether these challenges and uncertainties will be contained or resolved, and what effects they may have on the global political and economic conditions in the long term. Economic conditions in China are sensitive to global economic conditions, as well as changes in domestic economic and political policies and the expected or perceived overall economic growth rate in China. Any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spending with us, while we may have difficulty expanding our customer base fast enough, or at all, to offset the impact of decreased spending by our existing customers. In addition, to the extent we offer credit to any customer and the customer experiences financial difficulties due to the economic slowdown, we could have difficulty collecting payment from the customer.</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closely monitoring potential changes in international trade policy and assessing the potential impact of such trade policy changes on our business operations and financial performance, including the use of tariffs by the United States, China and other global trading countries and any related retaliatory measures. Broadly speaking, these policies have added increased uncertainty and volatility to the global economy and financial markets. We believe that such changes to trade policy would not have a material imminent impact on our business operations, but as relevant policies are rapidly evolving, it may be difficult to evaluate their potential future impacts. Geopolitical conflicts like this may also lead to volatility in financial markets, fluctuations in currency exchange rates, increased procurement costs and declines in trading prices of our ordinary shares and the ADSs. In extreme cases, such conflicts could result in economic downturns that materially and adversely impact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catastrophe, including natural catastrophes and outbreaks of health pandemics and other extraordinary events, could disrupt our business operation.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or Internet failures, which could cause the loss or corruption of data or malfunctions of software or hardware as well as adversely affect our ability to provide our services.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could also be adversely affected by the effects of Ebola virus disease, H1N1 flu, H7N9 flu, avian flu, severe acute respiratory syndrome, SARS, COVID-19 or other epidemics. Our business operations could be disrupted if any of our employees is suspected of having abovementioned or any other contagious disease or condition, since it could require our employees to be quarantined and/or our offices to be disinfected. In addition, our business, results of operations and financial condition could be adversely affected to the extent that any of these epidemics harms the Chinese economy in general.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Foreign investment in the value-added telecommunication services industry in China is extensively regulated and subject to numerous restrictions. The Special Administrative Measures for Entrance of Foreign Investment (the “Negative List 2024”) provides that foreign investors are generally not allowed to own more than 50% of the equity interests in a commercial Internet content provider or other value-added telecommunication services provider other than an e-commerce services provider, and the Provisions on the Administration of Foreign-Invested Telecommunications Enterprises (2022 Revision) requires that the major foreign investor in a value-added telecommunication services provider in China must have experience in providing value-added telecommunications services overseas and maintain a good track record. In addition, foreign investors are prohibited from investing in companies engaged in Internet dissemination, Internet content provision, Internet news information services, online publishing businesses, certain Internet culture businesses, Internet audio-visual programs businesses and production and operation of radio and television programs. See “Item 4. Information on the Company-4.B. Business Overview-Regulation-Foreign Investment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our subsidiary in China is currently considered a foreign-invested enterprise. Accordingly, in practice, our PRC subsidiary is not eligible to provide value-added telecommunication services or conduct other businesses which foreign-owned companies are prohibited or restricted from conducting in China. To ensure strict compliance with the PRC laws and regulations, we conduct such business activities through the VIE and its subsidiaries. Beijing Dake, our wholly owned subsidiary in China, has entered into a series of contractual arrangements with the VIE and its shareholders, which enables us to be considered as the primary beneficiary of the VIE for accounting purposes. For a description of these contractual arrangements, see “Item 4. Information on the Company—4.C. Organizational Structure—Contractual Arrangements with Beijing Duoke.”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PRC government finds that our contractual arrangements do not comply with its restrictions on foreign investment in the value-added telecommunication services and other foreign prohibited services or if the PRC government otherwise finds that we, the VIE, or any of its subsidiaries are in violation of PRC laws or regulations or lack the necessary permits or licenses to operate our business, the relevant PRC regulatory authorities would have broad discretion in dealing with such violations or failures, including:</w:t>
      </w:r>
    </w:p>
    <w:p>
      <w:pPr>
        <w:spacing w:after="0" w:line="18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discontinuing or placing restrictions or onerous conditions on our operation through any transactions between our PRC subsidiary and the VIE;</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imposing fines, confiscating the income from our PRC subsidiary or the VIE, or imposing other requirements with which we or the VIE may not be able to comply;</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 and deregistering the equity pledges of the VIE, which in turn would affect our ability to be considered the primary beneficiary of the VIE for accounting purposes;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restricting or prohibiting our use of the proceeds of our initial public offering to finance our business and operations in China; or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of these actions could cause significant disruptions to our business operations and severely damage our reputation, which would in turn materially and adversely affect our business, financial condition and results of operations. In addition, new PRC laws, regulations, and rules may be introduced to impose additional requirements, posing additional challenges to our corporate structure and contractual arrangements. If any of these occurrences results in our inability to direct the activities of the VIE or our failure to receive the economic benefits from the VIE and/or our inability to claim our contractual control rights over the assets of the VIE that conducts substantially all of our operations in China, we may not be able to consolidate the entity in our consolidated financial statements in accordance with U.S. GAAP which could materially and adversely affect our financial condition and results of operations and cause the ADSs to significantly decline in value or become worthless.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 or its shareholders to perform their obligations under our contractual arrangements with them would have a material adverse effect on our business.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PRC laws prohibit or restrict foreign equity ownership in certain kinds of business in China, we have relied and expect to continue to rely on the contractual arrangements with the VIE and its shareholders to operate our business in China.</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However, these contractual arrangements may not be as effective as direct ownership in providing us with control over our affiliated entities. Any of our affiliated entities, including the VIE and its shareholders, could breach their contractual arrangements with us by, among other things, failing to conduct their operations in an acceptable manner or taking other actions that are detrimental to our interests. In the event that the shareholders of the VIE breach the terms of these contractual arrangements and voluntarily liquidate the VIE, or the VIE declares bankruptcy and all or part of its assets become subject to liens or rights of third-party creditors, or are otherwise disposed of without our consent, we may be unable to conduct some or all of our business operations or otherwise benefit from the assets held by our affiliated entities, which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Shareholders holding 99% of the registered share capital of the VIE are affiliated with our Company or affiliated with certain shareholders of the Company. Particularly, Tianjin Zhanggongzi Technology Partnership (L.P.) controlled by Mr. Liu Chengcheng, the Founder and a shareholder of the Company, owns 61.56% of equity interest of the VIE, Shenzhen Guohong No. 2 Enterprise Management Partnership (L.P.), an affiliate of one our existing shareholders, owns 23.08% of equity interest of the VIE, and Ningbo Meishan Baoshui Gangqu Tianhong Lvheng Investment Management Partnership (L.P.), an affiliate of one our existing shareholders, owns 14.36% of equity interest of the VIE. The enforceability of the contractual agreements between us, the VIE and its shareholders, depends to a large extent upon whether the VIE and its shareholders will fulfil these contractual agreements. Their interest in enforcing these contractual agreements may not align with our interests or the interests of our shareholders. If their interest diverges from that of our company and other shareholders, it may potentially increase the risk that they could seek to act contrary to these contractual arrangements. If the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Our contractual arrangements are governed by PRC law and provide for the resolution of disputes through litigation in China. Accordingly, these agreements would be interpreted in accordance with PRC law, and any disputes would be resolved in accordance with PRC legal procedures. There remain significant uncertainties regarding the ultimate outcome of such adjudication should legal action become necessary. In the event that we are unable to enforce these contractual arrangements, or if we suffer significant delays or other obstacles in the process of enforcing these contractual arrangements, we may not be able to be considered the primary beneficiary of the VIE for accounting purposes, and our ability to conduct our business may be negatively affected.</w:t>
      </w:r>
    </w:p>
    <w:p>
      <w:pPr>
        <w:spacing w:after="0" w:line="1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2022, Beijing Cultural Investment Development Group Asset Management Co., Ltd. (“BCI”), made an investment of RMB32,492 in Beijing Duoke for 1% of Beijing Duoke’s registered capital. Such minority stake holder is not a party to the contractual arrangements that are currently in effect among 36Kr, Beijing Duoke and Beijing Duoke’s other shareholders. As such, despite the fact that we will still be able to enjoy economic benefits and are considered as the primary beneficiary of Beijing Duoke and its subsidiaries, we will not be able to purchase or have BCI pledge its 1% equity interests in Beijing Duoke in the same manner as agreed under existing contractual arrangements, nor will we be granted the authorization of voting rights over these 1% equity interests. We believe that we will continue to be the primary beneficiary of Beijing Duoke for accounting purposes and consolidate its operating results in our financial statements under U.S. GAAP after the issuance of such 1% equity interests.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China Securities Regulatory Commission or other PRC government authorities may be required under PRC law in connection with our issuance of securities overseas, or maintenance of the listing status of the ADSs, and the PRC government’s oversight and discretion over our business operations could result in a material adverse change in our operations and the value of the ADSs.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we conduct our business primarily through our PRC subsidiaries and the VIE in China. Our operations in China are governed by PRC laws and regulations. The PRC government has significant oversight and discretion over the operation of our business, and it may influence our operations, which could result in a material adverse change in our operation and the value of the ADSs. The PRC government has indicated an intent to exert more oversight over overseas offerings and/or foreign investment in China-based issuers like us. For example, on July 6, 2021, relevant PRC government authorities promulgated the Opinions on Strictly Cracking Down on Illegal Securities Activities, which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Such opinions further provided that the special provisions of the State Council on overseas offerings and listings by those companies limited by shares will be revised and therefore the duties of domestic industry competent authorities and regulatory agencies will be clarified.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these opinions were newly issued and there are no further explanations or detailed rules and regulations with respect to such opinions, there are still uncertainties regarding the interpretation and implementation of such opinions. In addition, new rules or regulations promulgated in the future could impose additional requirements on us, and it is uncertain how the new rules or regulations will be enacted, interpreted or implemented and how they will affect us. For example, it was reported that the CSRC may issue new rules requiring China-based companies to seek approval before going public outside of China, including in the U.S. Furthermore, on July 10, 2021, the CAC issued a revised draft of the Cybersecurity Review Measures for public comments, according to which, among others, an “operator of critical information infrastructure” or a “data processing operator,” who has personal information of more than one million users and is seeking to list its securities on a foreign stock exchange, must apply to the relevant cybersecurity review office for a cybersecurity review.</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on December 28, 2021, the CAC published the Revised Cybersecurity Review Measures, which became effective on February 15, 2022. The Revised Cybersecurity Review Measures provide that a critical information infrastructure operator purchasing network products and services, and platform operators carrying out data processing activities, which affect or may affect national security, shall apply for cybersecurity review and that a platform operator with more than one million users’ personal information aiming to list abroad must apply for cybersecurity review. There are uncertainties as to the interpretation, application, and enforcement of the Revised Cybersecurity Review Measures. Under the Revised Cybersecurity Review Measures, we face potential risks if we are deemed as a “critical information infrastructure operator” or “platform operator” under the PRC cybersecurity laws and regulations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Company and diversion of our managerial and financial resources. In addition, we cannot guarantee that new rules or regulations promulgated in the future will not impose any additional requirement on us or otherwise tighten the regulations on companies with a VIE structure.</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17, 2023, the CSRC published the Interim Administrative Measures on Overseas Securities Offering and Listing by the Domestic Enterprises (CSRC Announcement [2022] No. 43) (the “Overseas Listing Measures”), which became effective on March 31, 2023. Under the Overseas Listing Measures, a filing-based regulatory system will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The Overseas Listing Measures state that any post-listing follow-on offering by an issuer in an overseas market, including issuance of shares, convertible notes and other similar securities, shall be subject to filing requirements within three business days after the completion of the offering. Therefore, any of our future offerings and listing of our securities in an overseas market may be subject to the filing requirements under the Overseas Listing Measures. In connection with the Overseas Listing Measures, on February 17, 2023, the CSRC also published the Notice on the Administrative Arrangements for the Filing of Overseas Securities Offering and Listing by the Domestic Enterprises (the “Notice on Overseas Listing Measures”). According to the Notice on Overseas Listing Measures, issuers that have already been listed in an overseas market by March 31, 2023, the date the Overseas Listing Measures will become effective, are not required to make any immediate filing and are only required to comply with the filing requirements under the Overseas Listing Measures when it consequently seeks to conduct a follow-on offering.</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CSRC or other relevant PRC regulatory agencies subsequently determine that prior approval, filing and/or other administration procedure is required for any of our future offerings of securities overseas or maintenance of the listing status of the ADSs, we cannot guarantee that we will be able to obtain such approval or complete such filing or other administration procedures in a timely manner, or at all. The CSRC or other PRC regulatory agencies also may take actions requiring us, or making it advisable for us, not to proceed with such offering or maintenance of the listing status of the ADSs. If we proceed with any of such offering or maintain the listing status of the ADSs without obtaining the CSRC’s or other PRC regulatory agencies’ approval or completing relevant filing or other administration procedures to the extent it is required, or if we are unable to comply with any new approval requirements which might be adopted for offerings that we have completed prior to the publication of the above-referenced opinions,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if there are any other approvals, filings and/or other administration procedures to be obtained from or completed with the CSRC or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In addition, implementation of industry-wide regulations affecting our operations could cause the value of our securities to significantly decline. Therefore, investors of our company and our business face potential uncertainty from actions taken by the PRC government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newly enacted Foreign Investment Law of the PRC and how it may impact on the viability of our current corporate structure, corporate governance and business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which became effective on January 1, 2020 and replaced three existing laws regulating foreign investment in China, namely, the Wholly Foreign-Invested Enterprise Law of the PRC, the Sino-Foreign Cooperative Joint Venture Enterprise Law of the PRC and the Sino-Foreign Equity Joint Venture Enterprise Law of the PRC, together with their implementation 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our corporate structure will be seen as violating the foreign investment rules as we are currently leveraging the contractual arrangements to operate certain businesses in which foreign investors are prohibited from or restricted to investing. Furthermore, if future legislation prescribed by the State Council mandate further actions to be taken by companies with respect to existing contractual arrangements, we may face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 and its shareholders to operate our business, which may not be as effective as direct ownership in providing operational control and otherwise materially and adversely affect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contractual arrangements with the VIE, its shareholders, as well as certain of its subsidiaries to operate our business in China. For a description of these contractual arrangements, see “Item 4. Information on the Company-4.C. Organizational Structure-Contractual Arrangements with Beijing Duoke.” These contractual arrangements may not be as effective as direct ownership in providing us with control over the VIE. For example, the VIE and its shareholders could breach their contractual arrangements with us by, among other things, failing to conduct their operations in an acceptable manner or taking other actions that are detrimental to our interests. The revenues contributed by the VIE and its subsidiaries constituted substantially all of our revenues in 2023, 2024 and 2025.</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had direct ownership of the VIE, we would be able to exercise our rights as a shareholder to effect changes in the board of directors of the VIE, which in turn could implement changes, subject to any applicable fiduciary obligations, at the management and operational level. However, under the contractual arrangements, we expect to rely on the performance by the VIE and its shareholders of their respective obligations under the contracts. The shareholders of the VIE may not act in the best interests of our company or may not fulfil their obligations under these contracts. Such risks will exist throughout the period in which we operate our business through the contractual arrangements with the VIE and its shareholders. If any dispute relating to these contracts remains unresolved, we will have to enforce our rights under these contracts through the operations of PRC law and arbitration, litigation or other legal proceedings. See “-Any failure by the VIE or its shareholders to perform their obligations under our contractual arrangements with them would have a material and adverse effect on our business.” Therefore, our contractual arrangements with the VIE and its shareholders may not be as effective in controlling our business operations as direct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require additional expenses and delay. In the event we are unable to enforce these contractual arrangements, or if we suffer significant delays or other obstacles in the process of enforcing these contractual arrangements, we may not be able to be considered the primary beneficiary of the VIE for accounting purposes, and our ability to conduct our business may be negatively affected. See “-Risks Related to Doing Business in China-There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 may be subject to scrutiny by the PRC tax authorities and they may determine that we or the VIE owe additional taxes, which could negatively affect our financial condition and the value of your investment.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contractual arrangements between us and the VIE were not entered into on an arm’s-length basis in such a way as to result in an impermissible reduction in taxes under applicable PRC laws, rules and regulations, and adjust the income of the VIE in the form of a transfer pricing adjustment. A transfer pricing adjustment could, among other things, result in a reduction of expense deductions recorded by the VIE for PRC tax purposes, which could in turn increase its tax liabilities without reducing our PRC subsidiary’s tax expenses. In addition, the PRC tax authorities may impose additional tax liability on the VIE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 may have actual or potential conflicts of interest with us, which may materially and adversely affect our business and financial condition.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shareholders of the VIE may have actual or potential conflicts of interest with us. These shareholders may breach, or cause the VIE to breach, or refuse to renew, the existing contractual arrangements we have with them and the VIE, which would have a material and adverse effect on our ability to effectively control the VIE and receive economic benefits from them. For example,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If we cannot resolve any conflict of interest or dispute between us and these shareholders, we would have to rely on legal proceedings, which could result in disruption of our business and subject us to uncertainty as to the outcome of any such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the ability to use, or otherwise benefit from, the licenses, permits and assets held by the VIE.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our contractual arrangements with the VIE, the VIE holds certain assets, licenses and permits that are material to our business operations, including without limitation permits, licenses, domain names and most of our IP rights. The contractual arrangements contain terms that specifically obligate the VIE’s shareholders to ensure the valid existence of the VIE and restrict the disposal of material assets of the VIE. However, in the event that the VIE’s shareholders breach the terms of these contractual arrangements and voluntarily liquidate any of the VIE, or the VIE declares bankruptcy and all or part of its assets become subject to liens or rights of third-party creditors, or are otherwise disposed of or encumbered without our consent, we may be unable to conduct some or all of our business operations or otherwise benefit from the assets held by the VIE, which could have a material adverse effect on our business, financial condition and results of operations. Furthermore, under the contractual arrangements, the VIE may not, in any manner, sell, transfer, mortgage or dispose of their material assets or legal or beneficial interests in the business without our prior consent. If the VIE undergoes a voluntary or involuntary liquidation proceeding, its shareholders or unrelated third-party creditors may claim rights to some or all of the assets of the VIE, thereby hindering our ability to operate our business as well as constrain our growth.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enforcement of laws, and changes in policies, laws and regulations in China, could adversely affect 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The interpretations and enforcement of laws, regulations and rules involves uncertainties. These uncertainties may affect our judgment on the relevance of legal requirements and our ability to enforce our contractual rights or tort claims. The PRC government has historically published new policies that adversely affected certain industries such as the education and internet industries, and we cannot rule out the possibility that it will in the future further release regulations or policies regarding our industry that could further affect our business, financial condition and results of operations. Furthermore, the CSRC published the Overseas Listing Measures, under which a filing-based regulatory system will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9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However, as there are still regulatory uncertainties in this regard, we cannot assure you that we will be able to comply with new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particular, PRC laws and regulations concerning the industries we operate are developing and evolving. Although we have taken measures to comply with the laws and regulations that are applicable to our business operations and avoid conducting any non-compliant activities under the applicable laws and regulations, the PRC governmental authorities may promulgate new laws and regulations regulating the industries we operate in the future. We cannot assure you that our practice would not be deemed to violate any new PRC laws or regulations relating to the industries we operate. Moreover, developments in the industries we operate may lead to changes in PRC laws, regulations and policies or in the interpretation and application of existing laws, regulations and policies that may limit or restrict us, which could materially and adversely affect our business and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and social conditions as well as government policies could have a material adverse effect on our business and prospect.</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our operations are located in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Chinese government continues to play a significant role in regulating industry development by imposing industrial policies. For example, Beijing Duoke is recognized as “High-New Technology Enterprise” (“HNTE”) and is eligible for a 15% preferential tax rate effective through 2023, 2024, and 2025, upon the completion of its filings with the relevant tax authorities. However, the qualification as an HNTE is subject to annual evaluation and a three-year review by the relevant authorities in China. There can be no assurance that we will enjoy such preferential tax treatment in the future. Without such preferential tax treatment, we may incur more tax expense, and our operating results could be adversely affected.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adverse changes in economic conditions in China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Any prolonged slowdown in the Chinese economy may reduce the demand for our services and materially and adversely affect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 in China.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Cayman Islands company and substantially all of our current operations are conducted in China.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may be prohibited under the HFCAA if the PCAOB determines that it is unable to inspect or investigate completely our auditor, and as a result, U.S. national securities exchanges, such as the Nasdaq, may determine to delist our securities.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without the approval of the Chinese authorities.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As a result, investors were deprived of the benefits of such PCAOB inspections.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recent years, U.S. regulatory authorities have continued to express their concerns about challenges in their oversight of financial statement audits of U.S.-listed companies with significant operations in China. Furthermore, as part of a continued regulatory focus in the United States on access to audit and other information currently protected by national law, in particular China’s, the United States enacted the Holding Foreign Companies Accountable Act, or the HFCAA, in December 2020. Trading in our securities on U.S. markets, including the Nasdaq, may be prohibited under the HFCAA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or the 2021 Determinations, including our auditor. On May 26,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are not at risk of having our securities subject to a trading prohibition under the HFCAA unless a new determination if made by the PCAOB.</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PCAOB determines in the future that it no longer has full access to inspect and investigate accounting firms headquartered in mainland China and Hong Kong and we use an accounting firm headquartered in one of these jurisdictions to issue an audit report on our financial statements filed with the Securities and Exchange Commission,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 we would be identified as a “Commission-Identified Issuer” under the HFCAA following the filing of the annual report for the relevant fiscal year. If we were so identified for two consecutive years, trading in our securities on U.S. markets would be prohibited. If our shares and ADSs are prohibited from trading in the United States, there is no certainty that we will be able to list on a non-U.S. exchange or that a market for our shares will develop outside of the United States. This would also substantially impair your ability to sell or purchase the ADSs when you wish to do so. Furthermore, such trading prohibition would significantly affect our ability to raise capital on terms acceptable to us, or at all, which would have a material adverse impact on our business, financial condition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administrative authorities.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the VIE.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reputation and subject us to liability for information displayed on our platform.</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platform is found to be in violation of any such requirements, we may be penalized by relevant authorities, and our operations or reputation could be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and any tax we are required to pay could have a material and adverse effect on our ability to conduct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other than external financing, we rely principally on dividends and other distributions on equity from our PRC subsidiaries for our cash requirements, including the funds necessary to pay dividends and other cash distributions to our shareholders and for services of any debt we may incur.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the VIE and its subsidiaries is required to set aside at least 10% of its after-tax profits each year, if any, to fund a statutory reserve until such reserve reaches 50% of its registered capital. Each of our PRC subsidiaries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response to the persistent capital outflow and the RMB’s depreciation against the U.S. dollar in the fourth quarter of 2016, the People’s Bank of China, or the PBOC, and the State Administration of Foreign Exchange, or SAFE, have implemented a series of capital control measures in the subsequent months, including stricter vetting procedures for China-based companies to remit foreign currency for overseas acquisitions, dividend payments and shareholder loan repayments. For instance, the PBOC issued the Circular on Further Clarification of Relevant Matters Relating to Offshore RMB Loans Provided by Domestic Enterprises, or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constrain our PRC subsidiaries’ ability to provide offshore loans to us. The PRC government may continue to strengthen its capital controls and our PRC subsidiaries’ dividends and other distributions may be subjected to tighter scrutiny in the future. In addition, under the Enterprise Income Tax Law of the PRC and related regulations, dividends, interests, rent or royalties paid by a foreign-invested enterprise, such as our PRC subsidiaries, to any of its foreign non-resident non-PRC enterprise investors, and net proceeds from any such foreign enterprise investor’s disposition of shares of the PRC subsidiary, are subject to a 10% withholding tax, unless the foreign enterprise investor qualifies for the benefits of a tax treaty with China that provides for a reduced rate of withholding tax.</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restrict or prevent us from using the proceeds of our initial public offering to make loans to our PRC subsidiary and the VIE, or to make additional capital contributions to our PRC subsidiary.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utilizing the proceeds of our initial public offering, 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SAFE and capital contributions to our PRC subsidiaries are subject to the requirement of making necessary filings in the Foreign Investment Comprehensive Management Information System, and registration with other governmental authorities in China.</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Circular 19, effective on June 1, 2015, in replacement of the Circular on the Relevant Operating Issues Concerning the Improvement of the Administration of the Payment and Settlement of Foreign Currency Capital of Foreign-Invested Enterprises, or SAFE Circular 142, the Notice from the State Administration of Foreign Exchange on Relevant Issues Concerning Strengthening the Administration of Foreign Exchange Businesses, or Circular 59, and the Circular on Further Clarification and Regulation of the Issues Concerning the Administration of Certain Capital Account Foreign Exchange Businesses, or Circular 45. According to Circular 19, the flow and use of the Renminbi capital converted from foreign 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Notice of the State Administration of Foreign Exchange on Reforming and Standardizing the Foreign Exchange Settlement Management Policy of Capital Account, or Circular 16, effective on June 9, 2016, which reiterates 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including the net proceeds from our initial public offering and follow-on public offering to our PRC subsidiaries, which may adversely affect our liquidity and our ability to fund and expand our business in the PRC.</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restrictions imposed on loans in foreign currencies extended to any PRC domestic companies, we are not likely to make such loans to the VIE and its subsidiaries, each a PRC domestic company. Meanwhile, we are not likely to finance the activities of the VIE and its subsidiaries by means of capital contributions given the restrictions on foreign investment in the businesses that are currently conducted by the VIE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the VIE or future capital contributions by us to our PRC subsidiaries. As a result, uncertainties exist as to our ability to provide prompt financial support to our PRC subsidiaries or the VIE and its subsidiaries when needed. If we fail to complete such registrations or obtain such approvals, our ability to use foreign currency, including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Moreover, there remains significant international pressure on the PRC government to adopt a more flexible currency policy, which could result in greater fluctuation of the Renminbi against the U.S. dollar.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our initial public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controls may limit our ability to utilize our revenues effectively and affect the value of your investment.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PRC government imposes foreign exchange controls on the convertibility of the Renminbi,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or registration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and holders of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Rules on Mergers and Acquisitions of Domestic Enterprises by Foreign Investors, or the M&amp;A Rules, adopted by six PRC regulatory agencies in 2006 and amended in 2009, and some other regulations and rules concerning mergers and acquisitions established additional procedures and requirements could make merger and acquisition activities by foreign investors more time consuming and complex, including requirements in some instances that the anti-monopoly law enforcement agency be notified in advance of any change-of-control transaction in which a foreign investor takes control of a PRC domestic enterprise. Moreover, the Anti-Monopoly Law of the PRC requires that the anti-monopoly law enforcement agency be notified in advance of any transaction where the parties’ turnover in the China market and/or global market exceed certain thresholds and the buyer would obtain control of, or decisive influence over, the target as a result of the business combination. As further clarified by the Provisions of the State Council on the Threshold of Filings for Undertaking Concentrations issued by the State Council in 2008 and amended in September 2018 and in January 2024, such thresholds include:</w:t>
      </w:r>
    </w:p>
    <w:p>
      <w:pPr>
        <w:spacing w:after="0" w:line="1" w:lineRule="exact"/>
        <w:rPr>
          <w:sz w:val="20"/>
          <w:szCs w:val="20"/>
          <w:color w:val="auto"/>
        </w:rPr>
      </w:pPr>
    </w:p>
    <w:p>
      <w:pPr>
        <w:jc w:val="both"/>
        <w:ind w:firstLine="8"/>
        <w:spacing w:after="0" w:line="251" w:lineRule="auto"/>
        <w:tabs>
          <w:tab w:leader="none" w:pos="2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global turnover of all operators participating in the transaction exceeds RMB12 billion in the preceding fiscal year and at least two of these operators each had a turnover of more than RMB800 million within China in the preceding fiscal year, or (ii) the total turnover within China of all the operators participating in the transaction exceeded RMB2 billion in the preceding fiscal year, and at least two of these operators each had a turnover of more than RMB400 million within China in the preceding fiscal year. There are numerous factors the anti-monopoly law enforcement agency considers in determining “control” or “decisive influence,” and, depending on certain criteria, the anti-monopoly law enforcement agency may conduct anti-monopoly review of transactions in respect of which it was notified. In light of the uncertainties relating to the interpretation, implementation and enforcement of the Anti-Monopoly Law of the PRC, we cannot assure you that the anti-monopoly law enforcement agency will not deem our past and future acquisitions or investments to have triggered filing requirement for anti-trust review. If we are found to have violated the Anti-Monopoly Law of the PRC for failing to file the notification of concentration and request for review, we could be subject to a fine of up to RMB500,000, and the parts of the transaction causing the prohibited concentration could be ordered to be unwound, which may materially and adversely affect our business, financial condition and results of operations.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Circular of the General Office of the State Council on the Establishment of Security Review System for the Merger and Acquisition of Domestic Enterprises by Foreign Investors that became effective in March 2011, and the Rules on Implementation of Security Review System for the Merger and Acquisition of Domestic Enterprises by Foreign Investors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Ministry of Commerce or its local counterparts may delay or inhibit our ability to complete such transactions, which could affect our ability to expand our business or maintain our market share.</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SAFE promulgated the Circular on Issues Concerning the Foreign Exchange Administration over the Overseas Investment and Financing and Round-trip Investment by Domestic Residents via Special Purpose Vehicles, or SAFE Circular 37, in July 2014. SAFE Circular 37 requires PRC residents or entities to register with SAFE or its local branches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Circular of Further Simplifying and Improving the Policies of Foreign Exchange Administration Applicable to Direct Investment released in February 2015 by SAFE, local banks will examine and handle foreign exchange registration for overseas direct investment, including the initial foreign exchange registration and amendment registration, under SAFE Circular 37 from June 2015. See “Item 4. Information on the Company—4.B. Business Overview—Regulation—Regulations on Foreign Exchange and Offshore Investment.”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the National Development and Reform Commission, or the NDRC, or MOCT branches, our PRC subsidiaries may be prohibited from distributing their profits and proceeds from any reduction in capital, share transfer or liquidation to us, and we may be restricted in our ability to contribute additional capital to our PRC subsidiaries. In addition, our shareholders may be required to suspend or stop the investment and complete the registration within a specified time, and may be warned or prosecuted for criminal liability if a crime is constituted. Moreover, failure to comply with the SAFE registration described above could result in liability under PRC laws for evasion of applicable foreign exchange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notified all PRC residents or entities who directly or indirectly hold shares in our Cayman Islands holding company and who are known to us as being PRC residents or entities to complete the foreign exchange registrations or outbound investment filings. However, we may not be informed of the identities of all the PRC residents or entities holding direct or indirect interest in our company, nor can we compel our beneficial owners to comply with SAFE registration or outbound investment filings requirements. As a result, we cannot assure you that all of our shareholders or beneficial owners who are PRC residents or entities have complied with, and will in the future make, obtain or update any applicable registrations or approvals required by SAFE, NDRC or MOCT regulations. Failure by such shareholders or beneficial owners to comply with SAFE, NDRC or MOCT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share incentive plans may subject the PRC plan participants or us to fines and other legal or administrative sanctions.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directors, executive officers and other employees who are PRC citizens or who are non-PRC residents residing in the PRC for a continuous period of not less than one year, subject to limited exceptions, and who have been granted share-based awards, may follow the Circular of the SAFE on Issues Concerning the Administration of Foreign Exchange Used for Domestic Individuals’ Participation in Equity Incentive Plan of Overseas Listed Companies, promulgated by SAFE in 2012. Pursuant to the circular,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our directors, our executive officers and other employees who are PRC citizens or who reside in the PRC for a continuous period of not less than one year and who have been granted share-based awards are subject to these regulations. Failure to complete the SAFE registrations may subject us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Company—4.B. Business Overview—Regulation— Regulations on Foreign Exchange and Offshore Investment.”</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Company—4.B. Business Overview—Regulation—Regulations on Foreign Exchange and Offshore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the PRC Labor Contract Law and other labor-related regulations in the PRC may adversely affect our business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Standing Committee of the National People’s Congress enacted the Labor Contract Law in 2008, and amended it on December 28, 2012. The Labor Contract Law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 non-fixed-term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an unlimited term, subject to certain exceptions. With certain exceptions, an employer must pay severance to an employee where a labor contract is terminated or expires. In addition, the PRC governmental authorities have continued to introduce various new labor-related regulations since the effectiveness of the Labor Contract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PRC Social Insurance Law and the Administrative Measures on Housing Fund, employees are required to participate in pension insurance, work-related injury insurance, medical insurance, unemployment insurance, maternity insurance, and housing funds and employers are required, together with their employees or separately, to pay the social insurance premiums and housing funds for their employees. If we fail to make adequate social insurance and housing fund contributions, we may be subject to fines and legal sanctions, and our business, financial conditions and results of operations may be adversely affected.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laws designed to enhance labor protection tend to increase our labor costs. In addition, as the interpretation and implementation of these regulations are still evolving, our employment practices may not be at all times be deemed in compliance with the regulations. As a result, we could be subject to penalties or incur significant liabilities in connection with labor disputes or investigations.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classified as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PRC resident enterprise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for PRC enterprise income tax purposes, which could result in unfavorable tax consequences to us and our non-PRC shareholders and ADS holders and have a material adverse effect on our results of operations and the value of your investment.</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Enterprise Income Tax Law of the PRC and its implementation rules, an enterprise established outside of the PRC with a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over and overall management of the business, personnel, accounts and properties of an enterprise. In April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our company or any of our subsidiaries outside of China is a PRC resident enterprise for enterprise income tax purposes, we may be subject to PRC enterprise income on our worldwide income at the rate of 25%, which could materially reduce our net income. In addition, we will also be subject to PRC enterprise income tax reporting obligations. Furthermore, we may be required to withhold a 10% withholding tax from dividends we pay to our shareholders that are non-resident enterprises, including the holders of the ADSs, if such income is treated as sourced from within the PRC. In addition, 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if such income is deemed to be from PRC sources.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Any such tax may reduce the returns on your investment in the ADSs or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3, 2015, the State Administration of Taxation issued the Circular on Issues of Enterprise Income Tax on Indirect Transfers of Assets by Non-PRC Resident Enterprises, or SAT Circular 7. SAT Circular 7 extends its tax jurisdiction to transactions involving the transfer of taxable assets through offshore transfer of a foreign intermediate holding company. In addition, SAT Circular 7 has introduced safe harbors for internal group restructurings and the purchase and sale of equity securities through a public securities market. SAT Circular 7 also brings challenges to both foreign transferor and transferee (or other person who is obligated to pay for the transfer) of taxable assets.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2017, the State Administration of Taxation issued the Circular on Issues of Tax Withholding regarding Non-PRC Resident Enterprise Income Tax at Source, or SAT Circular 37, which came into effect on December 1, 2017. SAT Circular 37 further clarifies the practice and procedure of the withholding of nonresident enterprise income tax.</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known as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Circular 7 or SAT Circular 37. For transfer of shares in our company by investors who are non-PRC resident enterprises, our PRC subsidiaries may be requested to assist in the filing under SAT Circular 7 or SAT Circular 37. As a result, we may be required to expend valuable resources to comply with SAT Circular 7 or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had deprived our investors with the benefits of such inspections.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had historically been unable to conduct inspections and investigations completely before 2022. As a result, we and investors in the ADSs were deprived of the benefits of such PCAOB inspections. The inability of the PCAOB to conduct inspections of auditors in China in the past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including the following:</w:t>
      </w:r>
    </w:p>
    <w:p>
      <w:pPr>
        <w:spacing w:after="0" w:line="18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variations in our revenues, operating costs and expenses, earnings and cash flow;</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of new products and services by us or our competitors;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financial estimates by securities analysts;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detrimental adverse publicity about us, our shareholders, affiliates, directors, officers or employees, our content offerings, our business model, our services or our industry;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of new regulations, rules or policies relevant for our business;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or departures of key personnel;</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allegations of a lack of effective internal control over financial reporting, inadequate corporate governance policies, or allegations of fraud, among other things, involving China-based issuers;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potential litigation or regulatory investigations.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maintained compliance with the minimum bid price requirement of $1.00 per share for continued listing on the Nasdaq. If we continue to fail to meet this requirement and Nasdaq determines to delist the ADSs, the delisting would adversely affect the market liquidity of the ADSs and the market price of the ADSs could decrease.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ADSs are listed on the Nasdaq. In order to maintain our listing, we must meet minimum financial and other requirements, including the minimum bid price requirement of $1.00 per share for continued listing, as set forth in Nasdaq Listing Rule 5450(a)(1). We received a letter dated November 3, 2023 from the Nasdaq indicating that for the last 30 consecutive business days, the closing bid price of the ADSs was below the minimum bid price of US$1.00 per share requirement. As announced on May 3, 2024, Nasdaq approved the Company’s request to transfer the listing of its ADSs from the Nasdaq Global Market to the Nasdaq Capital Market. As part of its efforts to regain compliance with the Minimum Bid Price Requirement, the Company changed the ratio of its ADSs representing Class A ordinary shares from one ADS representing 25 Class A ordinary shares to one ADS representing 500 Class A ordinary shares. The change became effective on October 3, 2024. On October 17, 2024, Nasdaq confirmed in the Compliance Notification that the closing bid price of the Company’s ADSs has been at $1.00 per share or greater for the ten consecutive business days from October 3, 2024 through October 16, 2024. Accordingly, the Company has regained compliance with the Nasdaq Capital Market Minimum Bid Price Requirement, and the matter is now closed.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meet the minimum bid price requirement or any other requirements in the future. The failure to maintain our listing on the Nasdaq would have an adverse effect on the market price and liquidity of the ADSs. Without a Nasdaq listing, shareholders may have a difficult time getting a quote for the sale or purchase of the ADSs, the sale or purchase of the ADSs would likely be made more difficult, and the trading volume and liquidity of the ADSs could decline. Delisting from the Nasdaq could also result in negative publicity and could make it more difficult for us to raise additional capital.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861"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the ADSs could adversely affect their market price.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The ADSs representing our Class A ordinary shares sold in our initial public offering are freely transferable by persons other than our “affiliates” without restriction or further registration under the Securities In addition, ordinary shares held by our existing shareholders may also be sold in the public market in the future subject to the restrictions in Rule 144 and Rule 701 under the Securities Act and the applicable lock-up agreements. Any or all of these ordinary shares may be released prior to the expiration of the applicable lock-up period at the discretion of the designated representatives. To the extent ordinary shares are released before the expiration of the applicable lock-up period and sold into the market, the market price of the ADSs could decline. We cannot predict what effect, if any, market sales of securities held by our significant shareholders or any other shareholder or the availability of these securities for future sale will have on the market price of the ADSs.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the ADSs.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cash dividends in the foreseeable future, you must rely on a price appreciation of the ADSs for a return on your investment.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fourth amended and restated memorandum and articles of association contain anti-takeover provisions that could have a material adverse effect on the rights of holders of our ordinary shares and the ADSs.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fourth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representing our ordinary shares may fall and the voting and other rights of the holders of our ordinary shares and the ADSs may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Revised) of the Cayman Islands, or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and the register of mortgages and charges, and any special resolutions passed by these companies)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your Class A ordinary shares underlying the ADSs.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withdraw the shares underlying your ADSs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fourth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to deliver our voting materials to you. Under our fourth amended and restated memorandum and articles of association, the minimum notice period required to be given by our company to our registered shareholders for convening a general meeting is fifteen (15) days.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have substantial influence over our company, and their interests may not be aligned with the interests of our other stockholders.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Dagang Feng, our chief executive officer and the chairman of our board of directors, holds approximately 89.0% voting power as of the date of this annual report, including his sole voting power and the shared voting power resulting from an acting-in-concert agreement entered into in September 2019. For more information, see “Item 6. Directors, Senior Management and Employees-6.E. Share Ownership.” Accordingly, Mr. Feng will have the ability to control the outcome of matters submitted to our shareholders for approval, including decisions regarding mergers, consolidations, liquidations and the sale of all or substantially all of our assets, election of directors and other significant corporate actions. This concentration of ownership may also have the effect of discouraging, delaying or preventing a future change of control, which could deprive our stockholders of an opportunity to receive a premium for their shares as part of a sale of our company and might reduce the price of the ADSs. The voting control of Mr. Feng will limit the ability of other shareholders to influence corporate activities and, as a result, we may take actions that shareholders other than Mr. Feng do not view as beneficial. As a shareholder, even a controlling shareholder, Mr. Feng is entitled to exercise his voting power in his own interests, which may not be the same as, or may conflict with, the interests of our other shareholders. Furthermore, because Mr. Feng controls a majority of our voting stock, he may pursue corporate opportunities independent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 dual-class share structure such that our ordinary shares consist of Class A ordinary shares, Class B ordinary shares and Class C ordinary shares. In respect of matters requiring the votes of shareholders, each Class A ordinary share is entitled to one vote, each Class B ordinary share is entitled to 25 votes and each Class C ordinary share is entitled to 100 votes. Each Class B or Class C ordinary share is convertible into one Class A ordinary share at any time by the holder thereof. However, Class B ordinary shares are not convertible into Class C ordinary shares, and Class C ordinary shares are not convertible into Class B ordinary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Palopo Holding Limited, an entity wholly owned by Dagang Feng, beneficially owns all of our issued and outstanding Class C ordinary shares. These Class C ordinary shares constituted approximately 5.5% of our total issued and outstanding share capital and 74.1% of the aggregate voting power of our total issued and outstanding share capital.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36Kr Heros Holding Limited, an entity wholly owned by Chengcheng Liu, beneficially owns all of our issued and outstanding Class B ordinary shares. These Class B ordinary shares constituted approximately 4.1% of our total issued and outstanding share capital and 13.9% of the aggregate voting power of our total issued and outstanding share capital.</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this dual-class share structure, the holders of our Class B and Class C ordinary shares will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and Class C ordinary shares may take actions that are not in the best interest of us or our other shareholders or holders of the ADSs.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 In addition, future issuances of Class B or Class C ordinary shares may be dilutive to the holders of Class A ordinary shares. As a result, the market price of our Class A ordinary shares could be adversely affected. Furthermore, the conversion of Class B and Class C ordinary shares to Class A ordinary shares over time, while increasing the absolute voting power of holders of our Class A ordinary shares, may have the effect of increasing the relative voting power of the holders of Class B and Class C ordinary shares who retain their shares in the long term. As a result, the relative voting power of holders of Class A ordinary share may remain limited for a significant period of time.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within the meaning of the Nasdaq Stock Market Rules and, as a result, may rely on exemptions from certain corporate governance requirements that provide protection to shareholders of other companies.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since Dagang Feng controls a majority of our total voting power as of the date of this annual report. For so long as we remain a controlled company under that definition, we are permitted to elect to rely, and may rely, on certain exemptions from corporate governance rules, such as the requirement that a majority of our board of directors must be independent directors, and the requirement that our board of directors have a compensation committee and nominating and corporate governance committee composed entirely of independent directors.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you will not have the same protection afforded to shareholders of companies that are subject to these corporate governance requirements.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difference in the voting rights of our Class A ordinary share, Class B ordinary share and Class C ordinary share may harm the value and liquidity of our Class A ordinary share.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in the voting rights of our Class A ordinary share, Class B ordinary share and Class C ordinary share could harm the value of our Class A ordinary share to the extent that any investor or potential future purchaser of our Class A ordinary share ascribes value to the right of holders of our Class B ordinary share to 25 votes per share and the right of holders of our Class C ordinary share to 100 votes per share. The existence of our dual-class share structure could also result in less liquidity for our Class A ordinary share than if there were only one class of our ordinary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dual-class share structure may depress the trading price of our Class A ordinary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dual-class share structure may result in a lower or more volatile market price of our Class A ordinary share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from being added to these indices. In addition, several shareholder advisory firms have announced their opposition to the use of multiple- class structures. As a result, our dual-class share structure may prevent the inclusion of our Class A ordinary share in these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 Any actions or publications by shareholder advisory firms critical of our corporate governance practices or capital structure could also adversely affect the value of our Class A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Cayman Islands company listed on the Nasdaq,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have followed and intend to continue to follow Cayman Islands corporate governance practices in lieu of the corporate governance requirements of the Nasdaq that listed companies must have: (i) a majority of independent directors; (ii) the establishment of a nominating/corporate governance committee composed entirely of independent directors; and (iii) a compensation committee composed entirely of independent directors. As a result of our reliance on the “foreign private issuer” or the “controlled company” exemptions, our shareholders may be afforded less protection than they otherwise would enjoy under the Nasdaq corporate governance listing standards applicable to U.S. domestic issuers.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rules under Regulation FD governing selective disclosure rules of material nonpublic information.</w:t>
      </w:r>
    </w:p>
    <w:p>
      <w:pPr>
        <w:spacing w:after="0" w:line="2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of 2002, as well as rules subsequently implemented by the SEC and the Nasdaq, impose various requirements on the corporate governance practices of public companies. In addition, as we have ceased to be an “emerging growth company” as such term is defined in the JOBS Act, we expect to incur significant expenses and devote substantial management effort toward ensuring compliance with the requirements of Section 404 and the other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increase our legal and financial compliance costs and to make some corporate activities more time-consuming and costly. For example, as a public company, we will need to increase the number of independent directors and adopt policies regarding internal controls and disclosure controls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is also more difficult for us to find qualified persons to serve on our board of directors or as executive officers. We are currently evaluating and monitoring developments with respect to these rules and regulations, and we cannot predict or estimate the amount of additional costs we may incur or the timing of such costs.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were likely a passive foreign investment company (“PFIC”) for 2025 if the value of our assets is determined by reference to our market capitalization, and due to the current trading prices of the ADSs there is a significant risk that we will be a PFIC for 2026 and possibly future taxable years, which could result in adverse U.S. federal income tax consequences to U.S. investors in the ADSs or Class A ordinary shares.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PFIC, for any taxable year in which (i) 75% or more of its gross income consists of passive income (the “income test”) or (ii) 50% or more of the average value of its assets (generally determined on a quarterly basis) consists of assets that produce, or are held for the production of, passive income (the “assets test”). For purposes of the above calculations, a non-U.S. corporation that owns (or is treated as owning for U.S. federal income tax purposes),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certain royalties and gains from financial investments. Cash is generally a passive asset for these purposes. Goodwill and other intangible assets are active assets to the extent attributable to activities that produce active income.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we hold a substantial amount of cash and financial investments, our PFIC status for any taxable year may depend on the average value of our goodwill and other intangible assets, in addition to other active assets. We have not obtained valuations of our assets (including goodwill and other intangible assets) for 2025. However, the value of our assets may be determined by reference to our average market capitalization. Because of the low average value of our market capitalization during 2025, we believe that we were likely a PFIC for our taxable year of 2025 if the value of our assets is determined by reference to our market capitalization. Considering the current low level and volatility of our market capitalization, there is a significant risk that we will also be a PFIC under the assets test for our taxable year of 2026, and possibly future taxable years, if the value of our assets is determined by reference to our market capitalization. Moreover, the extent to which our goodwill and other intangible assets should be treated as active assets is not entirely clear. In addition, we provide financing to customers as part of our advertisement agent services and although our income from this business segment is small, if in the future the proportionate share of this income grows, we may be a PFIC under the income test. Furthermore, it is not entirely clear how the contractual arrangements between us and the VIE will be treated for purposes of the PFIC rules, and we may be a PFIC for any taxable year if the VIE is not treated as owned by us. Our PFIC status for any taxable year is an annual factual determination that can be made only after the end of that year and will depend on the composition of our income and assets and the value of our assets from time to time. For these reasons, our PFIC status for any past, current or future taxable year is uncertain.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the ADSs or Class A ordinary shares, we will generally continue to be a PFIC with respect to that investor for all succeeding taxable years, even if we cease to meet the threshold requirements for PFIC status, unless certain elections are timely made by the investor. In addition, a U.S. holder of the ADSs or Class A ordinary shares will be subject to reporting obligations with respect to its ownership of PFIC stock. See “Item 10.E. Taxation-U.S. Federal Income Tax Considerations-Passive Foreign Investment Company Rules”.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applicable restrictions could make it impractical for us to continue our business as contemplated and could have a material adverse effect on our business, results of operations and financial condition.</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conduct our operations so that we will not be deemed to be an investment company under the Investment Company Act. Section 3(a)(1)</w:t>
      </w:r>
    </w:p>
    <w:p>
      <w:pPr>
        <w:spacing w:after="0" w:line="27" w:lineRule="exact"/>
        <w:rPr>
          <w:sz w:val="20"/>
          <w:szCs w:val="20"/>
          <w:color w:val="auto"/>
        </w:rPr>
      </w:pPr>
    </w:p>
    <w:p>
      <w:pPr>
        <w:jc w:val="both"/>
        <w:ind w:firstLine="8"/>
        <w:spacing w:after="0" w:line="252" w:lineRule="auto"/>
        <w:tabs>
          <w:tab w:leader="none" w:pos="3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Rule 3a-1 under the Investment Company Act generally provide that an entity will not be deemed to be an “investment company” for purposes of the Investment Company Act if: (a) it is not and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that we are engaged primarily in the business of generating and distributing media content and providing business services, including online advertising services, enterprise value-added services and subscription services to customers, and not in the business of investing, reinvesting or trading in securities. We hold ourselves out as such and do not propose to engage primarily in the business of investing, reinvesting or trading in securities. Accordingly, we do not believe that the Company is what is frequently referred to as an “orthodox” investment company as defined in the Investment Company Act and described in clause (a) in the second sentence of the preceding paragraph. We also believe that the primary source of income from our businesses is properly characterized as income derived from our operating business, and not from investment securities. Furthermore, the Company’s assets, consolidated with its wholly-owned subsidiaries (within the meaning of the Investment Company Act), consist primarily of assets that we believe would not be considered securities for purposes of the Investment Company Act. Therefore, we believe that, consolidating the Company’s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the Company and securities issued by qualifying companies that are controlled primarily by the Company. Accordingly, we do not believe the Company is an investment company by virtue of the 45% test in Rule 3a-1 under the Investment Company Act as described in clause (b) in the second sentence of the preceding paragraph.</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need to comply with Section 3(a)(1)(A) and Rule 3a-1 under the Investment Company Act may cause us to restrict our business and subsidiaries with respect to how we invest excess cash pending use in our business. In addition, if we no longer meet the requirements of Section 3(a)(1)(A) and Rule 3a-1, and no other exemption is available to us, we may take other actions in order to conduct our business in a manner that does not subject us to the registration and other requirements of the Investment Company Act. This may include adjusting our cash management investments, which may result in lower rates of returns, and/or liquidating all or a portion of our investment securities (including potentially short- and/or long-term bank time deposits), including on unfavorable terms, and holding such amounts in cash, and/or acquiring assets or businesses that could change the nature of our business or potentially take other actions that may be viewed as adverse to the holders of the ADSs, in order to conduct our business in a manner that does not subject us to the registration and other requirements of the Investment Company Act.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anything were to happen which would cause the Company to be deemed to be an investment company under the Investment Company Act, we may lose our ability to raise money in the U.S. capital markets and from U.S. lenders, and additional restrictions under the Investment Company Act could apply to us, all of which could make it impractical for us to continue our business as currently conducted. This would materially and adversely affect the value of the ADSs and our ability to pay dividends in respect of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memorandum and articles of association, as amended and restated from time to time, and Companies Act of the Cayman Islands, which we refer to as the “Companies Act” below, and the common law of the Cayman Islands.</w:t>
      </w:r>
    </w:p>
    <w:p>
      <w:pPr>
        <w:spacing w:after="0" w:line="176" w:lineRule="exact"/>
        <w:rPr>
          <w:sz w:val="20"/>
          <w:szCs w:val="20"/>
          <w:color w:val="auto"/>
        </w:rPr>
      </w:pPr>
    </w:p>
    <w:p>
      <w:pPr>
        <w:jc w:val="both"/>
        <w:ind w:firstLine="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our fourth amended and restated memorandum and articles of association, the form of which was filed as </w:t>
      </w:r>
      <w:hyperlink r:id="rId54">
        <w:r>
          <w:rPr>
            <w:rFonts w:ascii="Times New Roman" w:cs="Times New Roman" w:eastAsia="Times New Roman" w:hAnsi="Times New Roman"/>
            <w:sz w:val="18"/>
            <w:szCs w:val="18"/>
            <w:u w:val="single" w:color="auto"/>
            <w:color w:val="0000EE"/>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Form 6-K/A (File Number 001-39117), filed with the SEC on May 19, 2026. Shareholders of the Company adopted our fourth amended and restated memorandum and articles of association at the EGM on September 8, 2025, which became effective immediately.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fourth amended and restated memorandum and articles of association and the Companies Act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registered office in the Cayman Islands is located at Maples Corporate Services Limited, PO Box 309, Ugland House, Grand Cayman, KY1-1104, Cayman Islands.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Clause 3 of our fourth amended and restated memorandum and articles of association, the objects for which we are established are unrestricted and we have full power and authority to carry out any object not prohibited by the Companies Act or as the same may be revised from time to time, or any other law of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Class B ordinary shares and Class C ordinary shares. Holders of our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Class B ordinary shares and Class C ordinary will have the same rights except for voting and conversion rights. All of our issued and outstanding ordinary shares are fully paid and non-assessable. Our ordinary shares are issued in registered form and are issued when registered in our register of shareholders. We may not issue share to bearer. Our shareholders who are non-residents of the Cayman Islands may freely hold and transfer their ordinary shares.</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B ordinary shares and Class C ordinary shares may be converted into the same number of Class A ordinary shares by the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thereof at any time, while Class A ordinary shares cannot be converted into Class B ordinary shares or Class C ordinary shares under any circumstances. Furthermore, Class B ordinary shares are not convertible into Class C ordinary shares, and Class C ordinary shares are not convertible into Class B ordinary shares. Upon any sale, transfer, assignment or disposition of Class B or Class C ordinary shares by a holder thereof to any person or entity which is not an affiliate of such holder, or upon a change of beneficial ownership of any Class B or Class C ordinary shares as a result of which any person who is not an affiliate of the holder becomes a beneficial owner of such Class B or Class C ordinary shares, such Class B or Class C ordinary shares shall be automatically and immediately converted into an equal number of Class A ordinary shares.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subject to our fourth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and the Companies Act. In addition, our shareholders may by ordinary resolution declare a dividend, but no dividend may exceed the amount recommended by our directors. Our fourth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profits or share premium account.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Class A ordinary share is entitled to one vote for the holder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ordinary share registered in his or her name on our register of members, each Class B ordinary share is entitled to 25 votes for the holder of each Class B ordinary share registered in his or her name on our register of members and each Class C ordinary share is entitled to 100 votes for the holder of each Class C ordinary share registered in his or her name on our register of members. A resolution put to the vote of the general meeting shall be decided on the vote of the requisite majority pursuant to a poll of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shareholders holding shares which carry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fourth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of the Board of Directors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fourth amended and restated memorandum and articles of association. A special resolution will be required for important matters such as a change of name or making changes to our fourth amended and restated memorandum and articles of association.</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fourth amended and restated memorandum and articles of association as set out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of our shareholders may transfer all or any of his or her ordinary shares by an instrument of transfer in the usual or common form or any other form approved by our board of directors.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right="2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instrument of transfer is properly stamped, if required;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shares are free from any lien in favor of the Company;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30 more than days in any year as our board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 shares), if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 redemption, at our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 attached to any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of shares (unless otherwise provided by the terms of issue of the shares of that class or series), whether or not our company is being wound-up,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Holders of our ordinary shares have no general right under Cayman Islands law to inspect or obtain copies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 of shareholders or our corporate records (other than copies of our fourth amended and restated memorandum and articles of association and the register of mortgages and charges, and any special resolution passed by our shareholders). However, we will provide our shareholders with annual audited financial statements.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r>
        <w:rPr>
          <w:rFonts w:ascii="Times New Roman" w:cs="Times New Roman" w:eastAsia="Times New Roman" w:hAnsi="Times New Roman"/>
          <w:sz w:val="18"/>
          <w:szCs w:val="18"/>
          <w:color w:val="auto"/>
        </w:rPr>
        <w:t>. Our fourth amended and restated memorandum of association authorizes our Board of Directors to issue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from time to time as our Board of Directors shall determine, to the extent of available authorized but unissued shares.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fourth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designation of the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shares of the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58" w:lineRule="exact"/>
        <w:rPr>
          <w:sz w:val="20"/>
          <w:szCs w:val="20"/>
          <w:color w:val="auto"/>
        </w:rPr>
      </w:pPr>
    </w:p>
    <w:p>
      <w:pPr>
        <w:jc w:val="both"/>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color w:val="auto"/>
        </w:rPr>
        <w:t>. Some provisions of our fourth amended and restated memorandum and articles of association may discourage, delay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 consider favorable, including provisions that: (a) authorize our Board of Directors to issue preferred shares in one or more series and to designate the price, rights, preferences, privileges and restrictions of such preferred shares without any further vote or action by our shareholders; and (b) limit the ability of shareholders to requisition and convene general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fourth amended and restated memorandum and articles of association for a proper purpose and for what they believe in good faith to be in the best interests of our company.</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 The Companies Act distinguishes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does not have to hold an annual general meeting;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may register as a limited duration company;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may register as a segregated portfolio company.</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340" w:type="dxa"/>
            <w:vAlign w:val="bottom"/>
            <w:gridSpan w:val="14"/>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0" w:type="dxa"/>
            <w:vAlign w:val="bottom"/>
            <w:gridSpan w:val="9"/>
          </w:tcPr>
          <w:p>
            <w:pPr>
              <w:ind w:left="9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34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auto"/>
              <w:bottom w:val="single" w:sz="8" w:color="0000EE"/>
            </w:tcBorders>
          </w:tcPr>
          <w:p>
            <w:pPr>
              <w:jc w:val="center"/>
              <w:spacing w:after="0" w:line="169"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bottom w:val="single" w:sz="8" w:color="0000EE"/>
            </w:tcBorders>
            <w:gridSpan w:val="12"/>
          </w:tcPr>
          <w:p>
            <w:pPr>
              <w:spacing w:after="0" w:line="169"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Fourth Amended and Restated Memorandum and Articles of Association of the Registrant, as currently in effect (incorporated</w:t>
              </w:r>
            </w:hyperlink>
          </w:p>
        </w:tc>
        <w:tc>
          <w:tcPr>
            <w:tcW w:w="20" w:type="dxa"/>
            <w:vAlign w:val="bottom"/>
          </w:tcPr>
          <w:p>
            <w:pPr>
              <w:spacing w:after="0"/>
              <w:rPr>
                <w:sz w:val="14"/>
                <w:szCs w:val="14"/>
                <w:color w:val="auto"/>
              </w:rPr>
            </w:pP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herein by reference to Exhibit 3.1 to the Form 6-K/A (File No. 001-39117), as amended, filed with the SEC on May 19, 2026)</w:t>
              </w:r>
            </w:hyperlink>
          </w:p>
        </w:tc>
        <w:tc>
          <w:tcPr>
            <w:tcW w:w="1040" w:type="dxa"/>
            <w:vAlign w:val="bottom"/>
            <w:gridSpan w:val="3"/>
          </w:tcPr>
          <w:p>
            <w:pPr>
              <w:spacing w:after="0"/>
              <w:rPr>
                <w:sz w:val="17"/>
                <w:szCs w:val="17"/>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American Depositary Receipt (incorporated herein by reference to Exhibit 4.1 to the registration statement on Form F-1 (File</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No. 333-234006), as amended, initially filed with the SEC on September 30, 2019)</w:t>
              </w:r>
            </w:hyperlink>
          </w:p>
        </w:tc>
        <w:tc>
          <w:tcPr>
            <w:tcW w:w="4140" w:type="dxa"/>
            <w:vAlign w:val="bottom"/>
            <w:tcBorders>
              <w:top w:val="single" w:sz="8" w:color="0000EE"/>
            </w:tcBorders>
            <w:gridSpan w:val="8"/>
          </w:tcPr>
          <w:p>
            <w:pPr>
              <w:spacing w:after="0"/>
              <w:rPr>
                <w:sz w:val="17"/>
                <w:szCs w:val="17"/>
                <w:color w:val="auto"/>
              </w:rPr>
            </w:pPr>
          </w:p>
        </w:tc>
      </w:tr>
      <w:tr>
        <w:trPr>
          <w:trHeight w:val="412"/>
        </w:trPr>
        <w:tc>
          <w:tcPr>
            <w:tcW w:w="340" w:type="dxa"/>
            <w:vAlign w:val="bottom"/>
            <w:gridSpan w:val="2"/>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Registrant’s Specimen Certificate for Class A Ordinary Shares (incorporated herein by reference to Exhibit 4.2 to the registration statement</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on Form F-1 (File No. 333-234006), as amended, initially filed with the SEC on September 30, 2019)</w:t>
              </w:r>
            </w:hyperlink>
          </w:p>
        </w:tc>
        <w:tc>
          <w:tcPr>
            <w:tcW w:w="276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Deposit Agreement among the Registrant, the depositary and holders of the American Depositary Shares (incorporated herein by</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reference to Exhibit 4.3 to the registration statement on Form F-1 (File No. 333-234006), as amended, initially filed with the SEC on</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September 30, 2019)</w:t>
              </w:r>
            </w:hyperlink>
          </w:p>
        </w:tc>
      </w:tr>
      <w:tr>
        <w:trPr>
          <w:trHeight w:val="20"/>
        </w:trPr>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Description of Securities Registered Under Section 12 of the Exchange Act, previously filed on Form 20-F, dated April 29, 2021 and</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incorporated herein by reference</w:t>
              </w:r>
            </w:hyperlink>
          </w:p>
        </w:tc>
      </w:tr>
      <w:tr>
        <w:trPr>
          <w:trHeight w:val="20"/>
        </w:trPr>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2019 Share Incentive Plan, as amended, filed as an exhibit to this Annual Report on Form 20-F/A</w:t>
            </w: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Indemnification Agreement between the Registrant and its directors and executive officers (incorporated herein by reference to</w:t>
              </w:r>
            </w:hyperlink>
          </w:p>
        </w:tc>
        <w:tc>
          <w:tcPr>
            <w:tcW w:w="2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Exhibit 10.2 to the registration statement on Form F-1 (File No. 333-234006), as amended, initially filed with the SEC on September 30,</w:t>
              </w:r>
            </w:hyperlink>
          </w:p>
        </w:tc>
        <w:tc>
          <w:tcPr>
            <w:tcW w:w="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2019)</w:t>
              </w:r>
            </w:hyperlink>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Employment Agreement between the Registrant its executive officers (incorporated herein by reference to Exhibit 10.3 to the</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registration statement on Form F-1 (File No. 333-234006), as amended, initially filed with the SEC on September 30, 2019)</w:t>
              </w:r>
            </w:hyperlink>
          </w:p>
        </w:tc>
        <w:tc>
          <w:tcPr>
            <w:tcW w:w="1200" w:type="dxa"/>
            <w:vAlign w:val="bottom"/>
            <w:tcBorders>
              <w:top w:val="single" w:sz="8" w:color="0000EE"/>
            </w:tcBorders>
            <w:gridSpan w:val="4"/>
          </w:tcPr>
          <w:p>
            <w:pPr>
              <w:spacing w:after="0"/>
              <w:rPr>
                <w:sz w:val="17"/>
                <w:szCs w:val="17"/>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Shareholders Agreement, dated September 25, 2019 (incorporated herein by reference to Exhibit 10.10 to the</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registration statement on Form F-1 (File No. 333-234006), as amended, initially filed with the SEC on September 30, 2019)</w:t>
              </w:r>
            </w:hyperlink>
          </w:p>
        </w:tc>
        <w:tc>
          <w:tcPr>
            <w:tcW w:w="1200" w:type="dxa"/>
            <w:vAlign w:val="bottom"/>
            <w:tcBorders>
              <w:top w:val="single" w:sz="8" w:color="0000EE"/>
            </w:tcBorders>
            <w:gridSpan w:val="4"/>
          </w:tcPr>
          <w:p>
            <w:pPr>
              <w:spacing w:after="0"/>
              <w:rPr>
                <w:sz w:val="17"/>
                <w:szCs w:val="17"/>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English translation of Data Sharing Agreement between Beijing Duoke Information Technology Co., Ltd. and Beijing Venture Glory</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Information Technology Co., Ltd., dated June 25, 2019 (incorporated herein by reference to Exhibit 10.11 to the registration statement on</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F-1 (File No. 333-234006), as amended, initially filed with the SEC on September 30, 2019)</w:t>
              </w:r>
            </w:hyperlink>
          </w:p>
        </w:tc>
        <w:tc>
          <w:tcPr>
            <w:tcW w:w="3020" w:type="dxa"/>
            <w:vAlign w:val="bottom"/>
            <w:gridSpan w:val="6"/>
          </w:tcPr>
          <w:p>
            <w:pPr>
              <w:spacing w:after="0"/>
              <w:rPr>
                <w:sz w:val="17"/>
                <w:szCs w:val="17"/>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English translation of Equity Pledge Agreement by and among Beijing Dake Information Technology Co., Ltd., Beijing Duoke Information</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Technology Co., Ltd. and the shareholders of Beijing Duoke Information Technology Co., Ltd, dated August 2, 2019 (incorporated herein</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by reference to Exhibit 10.12 to the registration statement on Form F-1 (File No. 333-234006), as amended, initially filed with the SEC on</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September 30, 2019)</w:t>
              </w:r>
            </w:hyperlink>
          </w:p>
        </w:tc>
        <w:tc>
          <w:tcPr>
            <w:tcW w:w="40" w:type="dxa"/>
            <w:vAlign w:val="bottom"/>
            <w:gridSpan w:val="2"/>
          </w:tcPr>
          <w:p>
            <w:pPr>
              <w:spacing w:after="0"/>
              <w:rPr>
                <w:sz w:val="17"/>
                <w:szCs w:val="17"/>
                <w:color w:val="auto"/>
              </w:rPr>
            </w:pPr>
          </w:p>
        </w:tc>
      </w:tr>
      <w:tr>
        <w:trPr>
          <w:trHeight w:val="20"/>
        </w:trPr>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English translation of Exclusive Purchase Option Agreement, by and among Beijing Dake Information Technology Co., Ltd., Beijing</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Duoke Information Technology Co., Ltd. and the shareholders of Beijing Duoke Information Technology Co., Ltd., dated August 2, 2019</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(incorporated herein by reference to Exhibit 10.13 to the registration statement on Form F-1 (File No. 333-234006), as amended, initially</w:t>
              </w:r>
            </w:hyperlink>
          </w:p>
        </w:tc>
        <w:tc>
          <w:tcPr>
            <w:tcW w:w="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filed with the SEC on September 30, 2019)</w:t>
              </w:r>
            </w:hyperlink>
          </w:p>
        </w:tc>
        <w:tc>
          <w:tcPr>
            <w:tcW w:w="7000" w:type="dxa"/>
            <w:vAlign w:val="bottom"/>
            <w:gridSpan w:val="9"/>
          </w:tcPr>
          <w:p>
            <w:pPr>
              <w:spacing w:after="0"/>
              <w:rPr>
                <w:sz w:val="17"/>
                <w:szCs w:val="17"/>
                <w:color w:val="auto"/>
              </w:rPr>
            </w:pPr>
          </w:p>
        </w:tc>
      </w:tr>
      <w:tr>
        <w:trPr>
          <w:trHeight w:val="412"/>
        </w:trPr>
        <w:tc>
          <w:tcPr>
            <w:tcW w:w="620" w:type="dxa"/>
            <w:vAlign w:val="bottom"/>
            <w:gridSpan w:val="4"/>
          </w:tcPr>
          <w:p>
            <w:pPr>
              <w:jc w:val="center"/>
              <w:ind w:left="210"/>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English translation of the Exclusive Business Cooperation Agreement, by and between Beijing Dake Information Technology Co., Ltd. and</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Beijing Duoke Information Technology Co., Ltd., dated August 2, 2019 (incorporated herein by reference to Exhibit 10.14 to the</w:t>
              </w:r>
            </w:hyperlink>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registration statement on Form F-1 (File No. 333-234006), as amended, initially filed with the SEC on September 30, 2019)</w:t>
              </w:r>
            </w:hyperlink>
          </w:p>
        </w:tc>
      </w:tr>
      <w:tr>
        <w:trPr>
          <w:trHeight w:val="722"/>
        </w:trPr>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6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000" w:hanging="793"/>
        <w:spacing w:after="0" w:line="263" w:lineRule="auto"/>
        <w:tabs>
          <w:tab w:leader="none" w:pos="980" w:val="left"/>
        </w:tabs>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4.9</w:t>
        </w:r>
      </w:hyperlink>
      <w:r>
        <w:rPr>
          <w:rFonts w:ascii="Times New Roman" w:cs="Times New Roman" w:eastAsia="Times New Roman" w:hAnsi="Times New Roman"/>
          <w:sz w:val="18"/>
          <w:szCs w:val="18"/>
          <w:u w:val="single" w:color="auto"/>
          <w:color w:val="0000EE"/>
        </w:rPr>
        <w:tab/>
      </w:r>
      <w:hyperlink r:id="rId70">
        <w:r>
          <w:rPr>
            <w:rFonts w:ascii="Times New Roman" w:cs="Times New Roman" w:eastAsia="Times New Roman" w:hAnsi="Times New Roman"/>
            <w:sz w:val="18"/>
            <w:szCs w:val="18"/>
            <w:u w:val="single" w:color="auto"/>
            <w:color w:val="0000EE"/>
          </w:rPr>
          <w:t>English translation of Power of Attorney, from Tianjin Zhanggongzi Technology Partnership (L.P.) to Beijing Dake Information Technology</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Co., Ltd., dated August 2, 2019 (incorporated herein by reference to Exhibit 10.15 to the registration statement on Form F-1 (File No. 333-</w:t>
        </w:r>
      </w:hyperlink>
      <w:hyperlink r:id="rId70">
        <w:r>
          <w:rPr>
            <w:rFonts w:ascii="Times New Roman" w:cs="Times New Roman" w:eastAsia="Times New Roman" w:hAnsi="Times New Roman"/>
            <w:sz w:val="18"/>
            <w:szCs w:val="18"/>
            <w:u w:val="single" w:color="auto"/>
            <w:color w:val="0000EE"/>
          </w:rPr>
          <w:t>234006), as amended, initially filed with the SEC on September 30, 2019)</w:t>
        </w:r>
      </w:hyperlink>
    </w:p>
    <w:p>
      <w:pPr>
        <w:spacing w:after="0" w:line="179" w:lineRule="exact"/>
        <w:rPr>
          <w:rFonts w:ascii="Times New Roman" w:cs="Times New Roman" w:eastAsia="Times New Roman" w:hAnsi="Times New Roman"/>
          <w:sz w:val="18"/>
          <w:szCs w:val="18"/>
          <w:u w:val="single" w:color="auto"/>
          <w:color w:val="0000EE"/>
        </w:rPr>
      </w:pPr>
    </w:p>
    <w:p>
      <w:pPr>
        <w:jc w:val="both"/>
        <w:ind w:left="100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4.10</w:t>
        </w:r>
      </w:hyperlink>
      <w:r>
        <w:rPr>
          <w:rFonts w:ascii="Times New Roman" w:cs="Times New Roman" w:eastAsia="Times New Roman" w:hAnsi="Times New Roman"/>
          <w:sz w:val="18"/>
          <w:szCs w:val="18"/>
          <w:u w:val="single" w:color="auto"/>
          <w:color w:val="0000EE"/>
        </w:rPr>
        <w:tab/>
      </w:r>
      <w:hyperlink r:id="rId71">
        <w:r>
          <w:rPr>
            <w:rFonts w:ascii="Times New Roman" w:cs="Times New Roman" w:eastAsia="Times New Roman" w:hAnsi="Times New Roman"/>
            <w:sz w:val="18"/>
            <w:szCs w:val="18"/>
            <w:u w:val="single" w:color="auto"/>
            <w:color w:val="0000EE"/>
          </w:rPr>
          <w:t>English translation of Power of Attorney, from Beijing Xieli Zhucheng Finance Information Services Co., Ltd. to Beijing Dake Information</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Technology Co., Ltd., dated August 2, 2019 (incorporated herein by reference to Exhibit 10.16 to the registration statement on Form F-1</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(File No. 333-234006),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5"/>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4.11</w:t>
        </w:r>
      </w:hyperlink>
      <w:r>
        <w:rPr>
          <w:rFonts w:ascii="Times New Roman" w:cs="Times New Roman" w:eastAsia="Times New Roman" w:hAnsi="Times New Roman"/>
          <w:sz w:val="18"/>
          <w:szCs w:val="18"/>
          <w:u w:val="single" w:color="auto"/>
          <w:color w:val="0000EE"/>
        </w:rPr>
        <w:tab/>
      </w:r>
      <w:hyperlink r:id="rId72">
        <w:r>
          <w:rPr>
            <w:rFonts w:ascii="Times New Roman" w:cs="Times New Roman" w:eastAsia="Times New Roman" w:hAnsi="Times New Roman"/>
            <w:sz w:val="18"/>
            <w:szCs w:val="18"/>
            <w:u w:val="single" w:color="auto"/>
            <w:color w:val="0000EE"/>
          </w:rPr>
          <w:t>English translation of Power of Attorney, from Gongqingcheng Fenzhong Chuangxiang Information Technology Co., Ltd. to Beijing Dake</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Information Technology Co., Ltd., dated August 2, 2019 (incorporated herein by reference to Exhibit 10.17 to the registration statement on</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Form F-1 (File No. 333-234006),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4.12</w:t>
        </w:r>
      </w:hyperlink>
      <w:r>
        <w:rPr>
          <w:rFonts w:ascii="Times New Roman" w:cs="Times New Roman" w:eastAsia="Times New Roman" w:hAnsi="Times New Roman"/>
          <w:sz w:val="18"/>
          <w:szCs w:val="18"/>
          <w:u w:val="single" w:color="auto"/>
          <w:color w:val="0000EE"/>
        </w:rPr>
        <w:tab/>
      </w:r>
      <w:hyperlink r:id="rId73">
        <w:r>
          <w:rPr>
            <w:rFonts w:ascii="Times New Roman" w:cs="Times New Roman" w:eastAsia="Times New Roman" w:hAnsi="Times New Roman"/>
            <w:sz w:val="18"/>
            <w:szCs w:val="18"/>
            <w:u w:val="single" w:color="auto"/>
            <w:color w:val="0000EE"/>
          </w:rPr>
          <w:t>English translation of Power of Attorney, from Shenzhen Guohong No.2 Enterprise Management Partnership (L.P.) to Beijing Dake</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Information Technology Co., Ltd., dated August 2, 2019 (incorporated herein by reference to Exhibit 10.18 to the registration statement on</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Form F-1 (File No. 333-234006),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4.13</w:t>
        </w:r>
      </w:hyperlink>
      <w:r>
        <w:rPr>
          <w:rFonts w:ascii="Times New Roman" w:cs="Times New Roman" w:eastAsia="Times New Roman" w:hAnsi="Times New Roman"/>
          <w:sz w:val="18"/>
          <w:szCs w:val="18"/>
          <w:u w:val="single" w:color="auto"/>
          <w:color w:val="0000EE"/>
        </w:rPr>
        <w:tab/>
      </w:r>
      <w:hyperlink r:id="rId74">
        <w:r>
          <w:rPr>
            <w:rFonts w:ascii="Times New Roman" w:cs="Times New Roman" w:eastAsia="Times New Roman" w:hAnsi="Times New Roman"/>
            <w:sz w:val="18"/>
            <w:szCs w:val="18"/>
            <w:u w:val="single" w:color="auto"/>
            <w:color w:val="0000EE"/>
          </w:rPr>
          <w:t>English translation of Power of Attorney, from Ningbo Meishan Baoshui Gangqu Tianhong Lvyan Investment Management Partnership</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(L.P.) to Beijing Dake Information Technology Co., Ltd., dated August 2, 2019 (incorporated herein by reference to Exhibit 10.19 to the</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registration statement on Form F-1 (File No. 333-234006),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4.14</w:t>
        </w:r>
      </w:hyperlink>
      <w:r>
        <w:rPr>
          <w:rFonts w:ascii="Times New Roman" w:cs="Times New Roman" w:eastAsia="Times New Roman" w:hAnsi="Times New Roman"/>
          <w:sz w:val="18"/>
          <w:szCs w:val="18"/>
          <w:u w:val="single" w:color="auto"/>
          <w:color w:val="0000EE"/>
        </w:rPr>
        <w:tab/>
      </w:r>
      <w:hyperlink r:id="rId75">
        <w:r>
          <w:rPr>
            <w:rFonts w:ascii="Times New Roman" w:cs="Times New Roman" w:eastAsia="Times New Roman" w:hAnsi="Times New Roman"/>
            <w:sz w:val="18"/>
            <w:szCs w:val="18"/>
            <w:u w:val="single" w:color="auto"/>
            <w:color w:val="0000EE"/>
          </w:rPr>
          <w:t>English translation of Power of Attorney, from Beijing Gebi Lvzhou Angel Investment Center (L.P.) to Beijing Dake Information</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Technology Co., Ltd., dated August 2, 2019 (incorporated herein by reference to Exhibit 10.20 to the registration statement on Form F-1</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(File No. 333-234006),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4.15</w:t>
        </w:r>
      </w:hyperlink>
      <w:r>
        <w:rPr>
          <w:rFonts w:ascii="Times New Roman" w:cs="Times New Roman" w:eastAsia="Times New Roman" w:hAnsi="Times New Roman"/>
          <w:sz w:val="18"/>
          <w:szCs w:val="18"/>
          <w:u w:val="single" w:color="auto"/>
          <w:color w:val="0000EE"/>
        </w:rPr>
        <w:tab/>
      </w:r>
      <w:hyperlink r:id="rId76">
        <w:r>
          <w:rPr>
            <w:rFonts w:ascii="Times New Roman" w:cs="Times New Roman" w:eastAsia="Times New Roman" w:hAnsi="Times New Roman"/>
            <w:sz w:val="18"/>
            <w:szCs w:val="18"/>
            <w:u w:val="single" w:color="auto"/>
            <w:color w:val="0000EE"/>
          </w:rPr>
          <w:t>English translation of Power of Attorney, from Suzhou Industrial Park Gebi Yinghe Venture Capital Partnership (L.P.) to Beijing Dake</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Information Technology Co., Ltd., dated August 2, 2019 (incorporated herein by reference to Exhibit 10.21 to the registration statement on</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Form F-1 (File No. 333-234006),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4.16</w:t>
        </w:r>
      </w:hyperlink>
      <w:r>
        <w:rPr>
          <w:rFonts w:ascii="Times New Roman" w:cs="Times New Roman" w:eastAsia="Times New Roman" w:hAnsi="Times New Roman"/>
          <w:sz w:val="18"/>
          <w:szCs w:val="18"/>
          <w:u w:val="single" w:color="auto"/>
          <w:color w:val="0000EE"/>
        </w:rPr>
        <w:tab/>
      </w:r>
      <w:hyperlink r:id="rId77">
        <w:r>
          <w:rPr>
            <w:rFonts w:ascii="Times New Roman" w:cs="Times New Roman" w:eastAsia="Times New Roman" w:hAnsi="Times New Roman"/>
            <w:sz w:val="18"/>
            <w:szCs w:val="18"/>
            <w:u w:val="single" w:color="auto"/>
            <w:color w:val="0000EE"/>
          </w:rPr>
          <w:t>English translation of Power of Attorney, from Beijing Wentou Wuyu Investment Co., Ltd. to Beijing Dake Information Technology</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Co., Ltd., dated August 2, 2019 (incorporated herein by reference to Exhibit 10.22 to the registration statement on Form F-1 (File No. 333-</w:t>
        </w:r>
      </w:hyperlink>
      <w:hyperlink r:id="rId77">
        <w:r>
          <w:rPr>
            <w:rFonts w:ascii="Times New Roman" w:cs="Times New Roman" w:eastAsia="Times New Roman" w:hAnsi="Times New Roman"/>
            <w:sz w:val="18"/>
            <w:szCs w:val="18"/>
            <w:u w:val="single" w:color="auto"/>
            <w:color w:val="0000EE"/>
          </w:rPr>
          <w:t>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4.17</w:t>
        </w:r>
      </w:hyperlink>
      <w:r>
        <w:rPr>
          <w:rFonts w:ascii="Times New Roman" w:cs="Times New Roman" w:eastAsia="Times New Roman" w:hAnsi="Times New Roman"/>
          <w:sz w:val="18"/>
          <w:szCs w:val="18"/>
          <w:u w:val="single" w:color="auto"/>
          <w:color w:val="0000EE"/>
        </w:rPr>
        <w:tab/>
      </w:r>
      <w:hyperlink r:id="rId78">
        <w:r>
          <w:rPr>
            <w:rFonts w:ascii="Times New Roman" w:cs="Times New Roman" w:eastAsia="Times New Roman" w:hAnsi="Times New Roman"/>
            <w:sz w:val="18"/>
            <w:szCs w:val="18"/>
            <w:u w:val="single" w:color="auto"/>
            <w:color w:val="0000EE"/>
          </w:rPr>
          <w:t>English translation of Power of Attorney, from Wuhan Feixiang Automobile Electronics Industry Investment Partnership (L.P.) to Beijing</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Dake Information Technology Co., Ltd., dated August 2, 2019 (incorporated herein by reference to Exhibit 10.23 to the registration</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statement on Form F-1 (File No. 333-234006), as amended, initially filed with the SEC on September 30,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right="20" w:hanging="838"/>
        <w:spacing w:after="0" w:line="266" w:lineRule="auto"/>
        <w:tabs>
          <w:tab w:leader="none" w:pos="980" w:val="left"/>
        </w:tabs>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4.18</w:t>
        </w:r>
      </w:hyperlink>
      <w:r>
        <w:rPr>
          <w:rFonts w:ascii="Times New Roman" w:cs="Times New Roman" w:eastAsia="Times New Roman" w:hAnsi="Times New Roman"/>
          <w:sz w:val="18"/>
          <w:szCs w:val="18"/>
          <w:u w:val="single" w:color="auto"/>
          <w:color w:val="0000EE"/>
        </w:rPr>
        <w:tab/>
      </w:r>
      <w:hyperlink r:id="rId79">
        <w:r>
          <w:rPr>
            <w:rFonts w:ascii="Times New Roman" w:cs="Times New Roman" w:eastAsia="Times New Roman" w:hAnsi="Times New Roman"/>
            <w:sz w:val="18"/>
            <w:szCs w:val="18"/>
            <w:u w:val="single" w:color="auto"/>
            <w:color w:val="0000EE"/>
          </w:rPr>
          <w:t>English translation of Equity Pledge Agreement by and among Beijing Dake Information Technology Co., Ltd., Beijing Duoke Information</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Technology Co., Ltd. and the shareholders of Beijing Duoke Information Technology Co., Ltd, dated November 4, 2022 (incorporated</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herein by reference to Exhibit 4.18 to the annual report on Form 20-F (File No. 001-39117) filed with the SEC on April 26,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0" w:hanging="838"/>
        <w:spacing w:after="0" w:line="261" w:lineRule="auto"/>
        <w:tabs>
          <w:tab w:leader="none" w:pos="980" w:val="left"/>
        </w:tabs>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4.19</w:t>
        </w:r>
      </w:hyperlink>
      <w:r>
        <w:rPr>
          <w:rFonts w:ascii="Times New Roman" w:cs="Times New Roman" w:eastAsia="Times New Roman" w:hAnsi="Times New Roman"/>
          <w:sz w:val="18"/>
          <w:szCs w:val="18"/>
          <w:u w:val="single" w:color="auto"/>
          <w:color w:val="0000EE"/>
        </w:rPr>
        <w:tab/>
      </w:r>
      <w:hyperlink r:id="rId80">
        <w:r>
          <w:rPr>
            <w:rFonts w:ascii="Times New Roman" w:cs="Times New Roman" w:eastAsia="Times New Roman" w:hAnsi="Times New Roman"/>
            <w:sz w:val="18"/>
            <w:szCs w:val="18"/>
            <w:u w:val="single" w:color="auto"/>
            <w:color w:val="0000EE"/>
          </w:rPr>
          <w:t>English translation of Exclusive Purchase Option Agreement, by and among Beijing Dake Information Technology Co., Ltd., Beijing</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Duoke Information Technology Co., Ltd. and the shareholders of Beijing Duoke Information Technology Co., Ltd., dated November 4,</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2022 (incorporated herein by reference to Exhibit 4.19 to the annual report on Form 20-F (File No. 001-39117) filed with the SEC on</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April 26,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434340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60" w:top="92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1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860" w:type="dxa"/>
            <w:vAlign w:val="bottom"/>
            <w:gridSpan w:val="11"/>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660" w:type="dxa"/>
            <w:vAlign w:val="bottom"/>
            <w:tcBorders>
              <w:top w:val="single" w:sz="8" w:color="auto"/>
            </w:tcBorders>
            <w:gridSpan w:val="3"/>
          </w:tcPr>
          <w:p>
            <w:pPr>
              <w:jc w:val="center"/>
              <w:ind w:left="170"/>
              <w:spacing w:after="0" w:line="169"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hyperlink>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English translation of the Exclusive Business Cooperation Agreement, by and between Beijing Dake Information Technology Co., Ltd. and</w:t>
              </w:r>
            </w:hyperlink>
          </w:p>
        </w:tc>
        <w:tc>
          <w:tcPr>
            <w:tcW w:w="2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Beijing Duoke Information Technology Co., Ltd., dated November 4, 2022 (incorporated herein by reference to Exhibit 4.20 to the annual</w:t>
              </w:r>
            </w:hyperlink>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report on Form 20-F (File No. 001-39117) filed with the SEC on April 26, 2023)</w:t>
              </w:r>
            </w:hyperlink>
          </w:p>
        </w:tc>
        <w:tc>
          <w:tcPr>
            <w:tcW w:w="4300" w:type="dxa"/>
            <w:vAlign w:val="bottom"/>
            <w:gridSpan w:val="8"/>
          </w:tcPr>
          <w:p>
            <w:pPr>
              <w:spacing w:after="0"/>
              <w:rPr>
                <w:sz w:val="17"/>
                <w:szCs w:val="17"/>
                <w:color w:val="auto"/>
              </w:rPr>
            </w:pPr>
          </w:p>
        </w:tc>
      </w:tr>
      <w:tr>
        <w:trPr>
          <w:trHeight w:val="412"/>
        </w:trPr>
        <w:tc>
          <w:tcPr>
            <w:tcW w:w="660" w:type="dxa"/>
            <w:vAlign w:val="bottom"/>
            <w:gridSpan w:val="3"/>
          </w:tcPr>
          <w:p>
            <w:pPr>
              <w:jc w:val="center"/>
              <w:ind w:left="170"/>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English translation of Power of Attorney, from Tianjin Zhanggongzi Technology Partnership (L.P.) to Beijing Dake Information Technology</w:t>
              </w:r>
            </w:hyperlink>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Co., Ltd., dated November 4, 2022 (incorporated herein by reference to Exhibit 4.21 to the annual report on Form 20-F (File No. 001-</w:t>
              </w:r>
            </w:hyperlink>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39117) filed with the SEC on April 26, 2023)</w:t>
              </w:r>
            </w:hyperlink>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gridSpan w:val="3"/>
          </w:tcPr>
          <w:p>
            <w:pPr>
              <w:jc w:val="center"/>
              <w:ind w:left="170"/>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English translation of Power of Attorney, from Shenzhen Guohong No.2 Enterprise Management Partnership (L.P.) to Beijing Dake</w:t>
              </w:r>
            </w:hyperlink>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Information Technology Co., Ltd., dated November 4, 2022 (incorporated herein by reference to Exhibit 4.22 to the annual report on</w:t>
              </w:r>
            </w:hyperlink>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20-F (File No. 001-39117) filed with the SEC on April 26, 2023)</w:t>
              </w:r>
            </w:hyperlink>
          </w:p>
        </w:tc>
        <w:tc>
          <w:tcPr>
            <w:tcW w:w="496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660" w:type="dxa"/>
            <w:vAlign w:val="bottom"/>
            <w:gridSpan w:val="3"/>
          </w:tcPr>
          <w:p>
            <w:pPr>
              <w:jc w:val="center"/>
              <w:ind w:left="170"/>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English translation of Power of Attorney, from Ningbo Meishan Baoshui Gangqu Tianhong Lvyan Investment Management Partnership</w:t>
              </w:r>
            </w:hyperlink>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(L.P.) to Beijing Dake Information Technology Co., Ltd., dated November 4, 2022 (incorporated herein by reference to Exhibit 4.23 to the</w:t>
              </w:r>
            </w:hyperlink>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annual report on Form 20-F (File No. 001-39117) filed with the SEC on April 26, 2023)</w:t>
              </w:r>
            </w:hyperlink>
          </w:p>
        </w:tc>
        <w:tc>
          <w:tcPr>
            <w:tcW w:w="3740" w:type="dxa"/>
            <w:vAlign w:val="bottom"/>
            <w:tcBorders>
              <w:top w:val="single" w:sz="8" w:color="0000EE"/>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660" w:type="dxa"/>
            <w:vAlign w:val="bottom"/>
            <w:gridSpan w:val="3"/>
          </w:tcPr>
          <w:p>
            <w:pPr>
              <w:jc w:val="center"/>
              <w:ind w:left="170"/>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24</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English translation of Share Subscription and Shareholders Agreement in respects of Hangzhou Jialin Information Technology Co., Ltd.,</w:t>
              </w:r>
            </w:hyperlink>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dated October 31, 2021, previously filed on Form 20-F, dated April 25, 2022 and incorporated herein by reference</w:t>
              </w:r>
            </w:hyperlink>
          </w:p>
        </w:tc>
        <w:tc>
          <w:tcPr>
            <w:tcW w:w="1900" w:type="dxa"/>
            <w:vAlign w:val="bottom"/>
            <w:tcBorders>
              <w:top w:val="single" w:sz="8" w:color="0000EE"/>
            </w:tcBorders>
            <w:gridSpan w:val="3"/>
          </w:tcPr>
          <w:p>
            <w:pPr>
              <w:spacing w:after="0"/>
              <w:rPr>
                <w:sz w:val="17"/>
                <w:szCs w:val="17"/>
                <w:color w:val="auto"/>
              </w:rPr>
            </w:pPr>
          </w:p>
        </w:tc>
      </w:tr>
      <w:tr>
        <w:trPr>
          <w:trHeight w:val="412"/>
        </w:trPr>
        <w:tc>
          <w:tcPr>
            <w:tcW w:w="660" w:type="dxa"/>
            <w:vAlign w:val="bottom"/>
            <w:gridSpan w:val="3"/>
          </w:tcPr>
          <w:p>
            <w:pPr>
              <w:jc w:val="center"/>
              <w:ind w:left="170"/>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25</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English translation of Share Transfer Agreement between Beijing Duoke Information Technology Co. Ltd. and Hangzhou Jialin</w:t>
              </w:r>
            </w:hyperlink>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Information Technology Co., Ltd., dated October 31, 2021, previously filed on Form 20-F, dated April 25, 2022 and incorporated herein by</w:t>
              </w:r>
            </w:hyperlink>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reference</w:t>
              </w:r>
            </w:hyperlink>
          </w:p>
        </w:tc>
        <w:tc>
          <w:tcPr>
            <w:tcW w:w="9440" w:type="dxa"/>
            <w:vAlign w:val="bottom"/>
            <w:gridSpan w:val="12"/>
          </w:tcPr>
          <w:p>
            <w:pPr>
              <w:spacing w:after="0"/>
              <w:rPr>
                <w:sz w:val="17"/>
                <w:szCs w:val="17"/>
                <w:color w:val="auto"/>
              </w:rPr>
            </w:pPr>
          </w:p>
        </w:tc>
      </w:tr>
      <w:tr>
        <w:trPr>
          <w:trHeight w:val="412"/>
        </w:trPr>
        <w:tc>
          <w:tcPr>
            <w:tcW w:w="34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List of Significant Subsidiaries and VIE of the Registrant (incorporated herein by reference to Exhibit 21.1 to the registration statement on</w:t>
              </w:r>
            </w:hyperlink>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F-1 (File No. 333-234006), as amended, initially filed with the SEC on September 30, 2019)</w:t>
              </w:r>
            </w:hyperlink>
          </w:p>
        </w:tc>
        <w:tc>
          <w:tcPr>
            <w:tcW w:w="3020" w:type="dxa"/>
            <w:vAlign w:val="bottom"/>
            <w:gridSpan w:val="6"/>
          </w:tcPr>
          <w:p>
            <w:pPr>
              <w:spacing w:after="0"/>
              <w:rPr>
                <w:sz w:val="17"/>
                <w:szCs w:val="17"/>
                <w:color w:val="auto"/>
              </w:rPr>
            </w:pPr>
          </w:p>
        </w:tc>
      </w:tr>
      <w:tr>
        <w:trPr>
          <w:trHeight w:val="412"/>
        </w:trPr>
        <w:tc>
          <w:tcPr>
            <w:tcW w:w="660" w:type="dxa"/>
            <w:vAlign w:val="bottom"/>
            <w:gridSpan w:val="3"/>
          </w:tcPr>
          <w:p>
            <w:pPr>
              <w:jc w:val="center"/>
              <w:ind w:left="170"/>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Code of Business Conduct and Ethics of the Registrant (incorporated herein by reference to Exhibit 99.1 to the registration statement on</w:t>
              </w:r>
            </w:hyperlink>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F-1 (File No. 333-234006), as amended, initially filed with the SEC on September 30, 2019)</w:t>
              </w:r>
            </w:hyperlink>
          </w:p>
        </w:tc>
        <w:tc>
          <w:tcPr>
            <w:tcW w:w="3020" w:type="dxa"/>
            <w:vAlign w:val="bottom"/>
            <w:tcBorders>
              <w:top w:val="single" w:sz="8" w:color="0000EE"/>
            </w:tcBorders>
            <w:gridSpan w:val="6"/>
          </w:tcPr>
          <w:p>
            <w:pPr>
              <w:spacing w:after="0"/>
              <w:rPr>
                <w:sz w:val="17"/>
                <w:szCs w:val="17"/>
                <w:color w:val="auto"/>
              </w:rPr>
            </w:pPr>
          </w:p>
        </w:tc>
      </w:tr>
      <w:tr>
        <w:trPr>
          <w:trHeight w:val="412"/>
        </w:trPr>
        <w:tc>
          <w:tcPr>
            <w:tcW w:w="660" w:type="dxa"/>
            <w:vAlign w:val="bottom"/>
            <w:gridSpan w:val="3"/>
          </w:tcPr>
          <w:p>
            <w:pPr>
              <w:jc w:val="center"/>
              <w:ind w:left="170"/>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Statement of Policies Governing Material Non-public Information and the Prevention of Insider Trading (incorporated herein by reference</w:t>
              </w:r>
            </w:hyperlink>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to Exhibit 11.2 to the annual report on Form 20-F (File No.001-39117) filed with the SEC on April 17, 2025)</w:t>
              </w:r>
            </w:hyperlink>
          </w:p>
        </w:tc>
        <w:tc>
          <w:tcPr>
            <w:tcW w:w="2260" w:type="dxa"/>
            <w:vAlign w:val="bottom"/>
            <w:tcBorders>
              <w:top w:val="single" w:sz="8" w:color="0000EE"/>
            </w:tcBorders>
            <w:gridSpan w:val="4"/>
          </w:tcPr>
          <w:p>
            <w:pPr>
              <w:spacing w:after="0"/>
              <w:rPr>
                <w:sz w:val="17"/>
                <w:szCs w:val="17"/>
                <w:color w:val="auto"/>
              </w:rPr>
            </w:pPr>
          </w:p>
        </w:tc>
      </w:tr>
      <w:tr>
        <w:trPr>
          <w:trHeight w:val="412"/>
        </w:trPr>
        <w:tc>
          <w:tcPr>
            <w:tcW w:w="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EE"/>
                <w:w w:val="98"/>
              </w:rPr>
              <w:t>12.</w:t>
            </w:r>
            <w:r>
              <w:rPr>
                <w:rFonts w:ascii="Times New Roman" w:cs="Times New Roman" w:eastAsia="Times New Roman" w:hAnsi="Times New Roman"/>
                <w:sz w:val="18"/>
                <w:szCs w:val="18"/>
                <w:u w:val="single" w:color="auto"/>
                <w:color w:val="0000EE"/>
                <w:w w:val="98"/>
              </w:rPr>
              <w:t>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700" w:type="dxa"/>
            <w:vAlign w:val="bottom"/>
            <w:tcBorders>
              <w:left w:val="single" w:sz="8" w:color="0000EE"/>
            </w:tcBorders>
            <w:gridSpan w:val="5"/>
          </w:tcPr>
          <w:p>
            <w:pPr>
              <w:spacing w:after="0" w:line="20" w:lineRule="exact"/>
              <w:rPr>
                <w:sz w:val="1"/>
                <w:szCs w:val="1"/>
                <w:color w:val="auto"/>
              </w:rPr>
            </w:pPr>
          </w:p>
        </w:tc>
      </w:tr>
      <w:tr>
        <w:trPr>
          <w:trHeight w:val="412"/>
        </w:trPr>
        <w:tc>
          <w:tcPr>
            <w:tcW w:w="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EE"/>
                <w:w w:val="98"/>
              </w:rPr>
              <w:t>12.</w:t>
            </w:r>
            <w:r>
              <w:rPr>
                <w:rFonts w:ascii="Times New Roman" w:cs="Times New Roman" w:eastAsia="Times New Roman" w:hAnsi="Times New Roman"/>
                <w:sz w:val="18"/>
                <w:szCs w:val="18"/>
                <w:u w:val="single" w:color="auto"/>
                <w:color w:val="0000EE"/>
                <w:w w:val="98"/>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302 of the Sarbanes-Oxley Act of 2002</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r>
      <w:tr>
        <w:trPr>
          <w:trHeight w:val="412"/>
        </w:trPr>
        <w:tc>
          <w:tcPr>
            <w:tcW w:w="7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EE"/>
                <w:w w:val="96"/>
              </w:rPr>
              <w:t>13.</w:t>
            </w:r>
            <w:r>
              <w:rPr>
                <w:rFonts w:ascii="Times New Roman" w:cs="Times New Roman" w:eastAsia="Times New Roman" w:hAnsi="Times New Roman"/>
                <w:sz w:val="18"/>
                <w:szCs w:val="18"/>
                <w:u w:val="single" w:color="auto"/>
                <w:color w:val="0000EE"/>
                <w:w w:val="96"/>
              </w:rPr>
              <w:t>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700" w:type="dxa"/>
            <w:vAlign w:val="bottom"/>
            <w:tcBorders>
              <w:left w:val="single" w:sz="8" w:color="0000EE"/>
            </w:tcBorders>
            <w:gridSpan w:val="5"/>
          </w:tcPr>
          <w:p>
            <w:pPr>
              <w:spacing w:after="0" w:line="20" w:lineRule="exact"/>
              <w:rPr>
                <w:sz w:val="1"/>
                <w:szCs w:val="1"/>
                <w:color w:val="auto"/>
              </w:rPr>
            </w:pPr>
          </w:p>
        </w:tc>
      </w:tr>
      <w:tr>
        <w:trPr>
          <w:trHeight w:val="412"/>
        </w:trPr>
        <w:tc>
          <w:tcPr>
            <w:tcW w:w="7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EE"/>
                <w:w w:val="96"/>
              </w:rPr>
              <w:t>13.</w:t>
            </w:r>
            <w:r>
              <w:rPr>
                <w:rFonts w:ascii="Times New Roman" w:cs="Times New Roman" w:eastAsia="Times New Roman" w:hAnsi="Times New Roman"/>
                <w:sz w:val="18"/>
                <w:szCs w:val="18"/>
                <w:u w:val="single" w:color="auto"/>
                <w:color w:val="0000EE"/>
                <w:w w:val="96"/>
              </w:rPr>
              <w:t>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60" w:type="dxa"/>
            <w:vAlign w:val="bottom"/>
            <w:gridSpan w:val="3"/>
          </w:tcPr>
          <w:p>
            <w:pPr>
              <w:jc w:val="center"/>
              <w:ind w:right="40"/>
              <w:spacing w:after="0"/>
              <w:rPr>
                <w:rFonts w:ascii="Times New Roman" w:cs="Times New Roman" w:eastAsia="Times New Roman" w:hAnsi="Times New Roman"/>
                <w:sz w:val="18"/>
                <w:szCs w:val="18"/>
                <w:color w:val="0000EE"/>
                <w:w w:val="78"/>
              </w:rPr>
            </w:pPr>
            <w:hyperlink r:id="rId91">
              <w:r>
                <w:rPr>
                  <w:rFonts w:ascii="Times New Roman" w:cs="Times New Roman" w:eastAsia="Times New Roman" w:hAnsi="Times New Roman"/>
                  <w:sz w:val="18"/>
                  <w:szCs w:val="18"/>
                  <w:color w:val="0000EE"/>
                  <w:w w:val="78"/>
                </w:rPr>
                <w:t>15.</w:t>
              </w:r>
              <w:r>
                <w:rPr>
                  <w:rFonts w:ascii="Times New Roman" w:cs="Times New Roman" w:eastAsia="Times New Roman" w:hAnsi="Times New Roman"/>
                  <w:sz w:val="18"/>
                  <w:szCs w:val="18"/>
                  <w:u w:val="single" w:color="auto"/>
                  <w:color w:val="0000EE"/>
                  <w:w w:val="78"/>
                </w:rPr>
                <w:t>1†</w:t>
              </w:r>
            </w:hyperlink>
          </w:p>
        </w:tc>
        <w:tc>
          <w:tcPr>
            <w:tcW w:w="440" w:type="dxa"/>
            <w:vAlign w:val="bottom"/>
            <w:gridSpan w:val="2"/>
          </w:tcPr>
          <w:p>
            <w:pPr>
              <w:spacing w:after="0"/>
              <w:rPr>
                <w:sz w:val="24"/>
                <w:szCs w:val="24"/>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Consent of PricewaterhouseCoopers Zhong Tian LLP, Independent Registered Public Accounting Firm</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00" w:type="dxa"/>
            <w:vAlign w:val="bottom"/>
            <w:gridSpan w:val="5"/>
          </w:tcPr>
          <w:p>
            <w:pPr>
              <w:jc w:val="center"/>
              <w:ind w:right="480"/>
              <w:spacing w:after="0"/>
              <w:rPr>
                <w:rFonts w:ascii="Times New Roman" w:cs="Times New Roman" w:eastAsia="Times New Roman" w:hAnsi="Times New Roman"/>
                <w:sz w:val="18"/>
                <w:szCs w:val="18"/>
                <w:color w:val="0000EE"/>
                <w:w w:val="78"/>
              </w:rPr>
            </w:pPr>
            <w:hyperlink r:id="rId92">
              <w:r>
                <w:rPr>
                  <w:rFonts w:ascii="Times New Roman" w:cs="Times New Roman" w:eastAsia="Times New Roman" w:hAnsi="Times New Roman"/>
                  <w:sz w:val="18"/>
                  <w:szCs w:val="18"/>
                  <w:color w:val="0000EE"/>
                  <w:w w:val="78"/>
                </w:rPr>
                <w:t>15.</w:t>
              </w:r>
              <w:r>
                <w:rPr>
                  <w:rFonts w:ascii="Times New Roman" w:cs="Times New Roman" w:eastAsia="Times New Roman" w:hAnsi="Times New Roman"/>
                  <w:sz w:val="18"/>
                  <w:szCs w:val="18"/>
                  <w:u w:val="single" w:color="auto"/>
                  <w:color w:val="0000EE"/>
                  <w:w w:val="78"/>
                </w:rPr>
                <w:t>2†</w:t>
              </w:r>
            </w:hyperlink>
          </w:p>
        </w:tc>
        <w:tc>
          <w:tcPr>
            <w:tcW w:w="10120" w:type="dxa"/>
            <w:vAlign w:val="bottom"/>
            <w:gridSpan w:val="13"/>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Consent of Jingtian &amp; Gongcheng, the Company’s PRC Legal Adviser</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40" w:right="20" w:hanging="770"/>
        <w:spacing w:after="0" w:line="282" w:lineRule="auto"/>
        <w:tabs>
          <w:tab w:leader="none" w:pos="1140" w:val="left"/>
        </w:tabs>
        <w:numPr>
          <w:ilvl w:val="0"/>
          <w:numId w:val="22"/>
        </w:numPr>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Compensation Recoupment Policy (incorporated herein by reference to Exhibit 97 to the annual report on Form 20-F (File No.001-39117)</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filed with the SEC on April 25,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00" w:type="dxa"/>
            <w:vAlign w:val="bottom"/>
          </w:tcPr>
          <w:p>
            <w:pPr>
              <w:spacing w:after="0"/>
              <w:rPr>
                <w:sz w:val="18"/>
                <w:szCs w:val="18"/>
                <w:color w:val="auto"/>
              </w:rPr>
            </w:pPr>
          </w:p>
        </w:tc>
      </w:tr>
      <w:tr>
        <w:trPr>
          <w:trHeight w:val="238"/>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28"/>
        </w:trPr>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2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14"/>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101.CAL*</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101.LAB*</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101.PRE*</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 with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20-F/A and that it has duly caused and authorized the undersigned to sign this annual report on its behalf.</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36Kr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Dagang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Dagang Feng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2019 SHARE INCENTIVE PLAN</w:t>
      </w:r>
    </w:p>
    <w:p>
      <w:pPr>
        <w:spacing w:after="0" w:line="241" w:lineRule="exact"/>
        <w:rPr>
          <w:sz w:val="20"/>
          <w:szCs w:val="20"/>
          <w:color w:val="auto"/>
        </w:rPr>
      </w:pPr>
    </w:p>
    <w:p>
      <w:pPr>
        <w:jc w:val="center"/>
        <w:ind w:left="1700" w:right="2820"/>
        <w:spacing w:after="0" w:line="227" w:lineRule="exact"/>
        <w:rPr>
          <w:sz w:val="20"/>
          <w:szCs w:val="20"/>
          <w:color w:val="auto"/>
        </w:rPr>
      </w:pPr>
      <w:r>
        <w:rPr>
          <w:rFonts w:ascii="Times New Roman" w:cs="Times New Roman" w:eastAsia="Times New Roman" w:hAnsi="Times New Roman"/>
          <w:sz w:val="18"/>
          <w:szCs w:val="18"/>
          <w:i w:val="1"/>
          <w:iCs w:val="1"/>
          <w:color w:val="auto"/>
        </w:rPr>
        <w:t>(approved and adopted by a board resolution passed on September 4, 2019</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 amended and approved by a board resolution passed on August 18, 2021 and March 14, 2026 )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172085</wp:posOffset>
            </wp:positionV>
            <wp:extent cx="1783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661035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80" w:type="dxa"/>
            <w:vAlign w:val="bottom"/>
            <w:gridSpan w:val="3"/>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4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Section 1 .   </w:t>
            </w:r>
            <w:r>
              <w:rPr>
                <w:rFonts w:ascii="Times New Roman" w:cs="Times New Roman" w:eastAsia="Times New Roman" w:hAnsi="Times New Roman"/>
                <w:sz w:val="18"/>
                <w:szCs w:val="18"/>
                <w:i w:val="1"/>
                <w:iCs w:val="1"/>
                <w:color w:val="auto"/>
              </w:rPr>
              <w:t>Definitions and Interpretation.</w:t>
            </w:r>
          </w:p>
        </w:tc>
        <w:tc>
          <w:tcPr>
            <w:tcW w:w="6340" w:type="dxa"/>
            <w:vAlign w:val="bottom"/>
            <w:gridSpan w:val="2"/>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Section 2 .   </w:t>
            </w:r>
            <w:r>
              <w:rPr>
                <w:rFonts w:ascii="Times New Roman" w:cs="Times New Roman" w:eastAsia="Times New Roman" w:hAnsi="Times New Roman"/>
                <w:sz w:val="18"/>
                <w:szCs w:val="18"/>
                <w:i w:val="1"/>
                <w:iCs w:val="1"/>
                <w:color w:val="auto"/>
              </w:rPr>
              <w:t>Purpose of the Plan.</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Condition..</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Duration.</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Section 5 .   </w:t>
            </w:r>
            <w:r>
              <w:rPr>
                <w:rFonts w:ascii="Times New Roman" w:cs="Times New Roman" w:eastAsia="Times New Roman" w:hAnsi="Times New Roman"/>
                <w:sz w:val="18"/>
                <w:szCs w:val="18"/>
                <w:i w:val="1"/>
                <w:iCs w:val="1"/>
                <w:color w:val="auto"/>
              </w:rPr>
              <w:t>Offer and Grant of Options.</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Exercise Price.</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Section 7 .   </w:t>
            </w:r>
            <w:r>
              <w:rPr>
                <w:rFonts w:ascii="Times New Roman" w:cs="Times New Roman" w:eastAsia="Times New Roman" w:hAnsi="Times New Roman"/>
                <w:sz w:val="18"/>
                <w:szCs w:val="18"/>
                <w:i w:val="1"/>
                <w:iCs w:val="1"/>
                <w:color w:val="auto"/>
              </w:rPr>
              <w:t>Exercise of Options.</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Section 8 .   </w:t>
            </w:r>
            <w:r>
              <w:rPr>
                <w:rFonts w:ascii="Times New Roman" w:cs="Times New Roman" w:eastAsia="Times New Roman" w:hAnsi="Times New Roman"/>
                <w:sz w:val="18"/>
                <w:szCs w:val="18"/>
                <w:i w:val="1"/>
                <w:iCs w:val="1"/>
                <w:color w:val="auto"/>
              </w:rPr>
              <w:t>Lapse of Option</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Maximum Number of Shares Subject to Options</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11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Reorganization of Capital Structure</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12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Share Capital.</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Disputes.</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Alteration of this Plan..</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15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6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688"/>
        </w:trPr>
        <w:tc>
          <w:tcPr>
            <w:tcW w:w="9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6" w:name="page57"/>
    <w:bookmarkEnd w:id="5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i w:val="1"/>
          <w:iCs w:val="1"/>
          <w:color w:val="auto"/>
        </w:rPr>
        <w:t>. Definitions and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In this Plan, save where the context otherwise requires, the following expressions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opposite them: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Adoption Date</w:t>
      </w:r>
      <w:r>
        <w:rPr>
          <w:rFonts w:ascii="Times New Roman" w:cs="Times New Roman" w:eastAsia="Times New Roman" w:hAnsi="Times New Roman"/>
          <w:sz w:val="18"/>
          <w:szCs w:val="18"/>
          <w:color w:val="auto"/>
        </w:rPr>
        <w:t>” being September 4, 2019, the date on which the Plan is approved and adopted by a resolution of the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means the auditors for the time being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granted under this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or a duly authorized committee thereof.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Associate</w:t>
      </w:r>
      <w:r>
        <w:rPr>
          <w:rFonts w:ascii="Times New Roman" w:cs="Times New Roman" w:eastAsia="Times New Roman" w:hAnsi="Times New Roman"/>
          <w:sz w:val="18"/>
          <w:szCs w:val="18"/>
          <w:color w:val="auto"/>
        </w:rPr>
        <w:t>” means any advisors, consultants, distributors, contractors, contract manufacturers, agents, customers, business partners, joint venture business partners, service providers of any member of the Group.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any day on which banks in New York, Hong Kong and PRC are open for business and the Stock Exchange is open for business of dealing in securities.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36Kr Holdings Inc.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any director (including executive director, non-executive director and independent non-executive director) of any member of the Group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employee or officer of any member of the Group.</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the price per Share at which a Grantee may subscribe for the Shares on the exercise of an Option as described in Section 6.</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property (including, without limitation, any Shares or other securities) the fair market value of such property determined by such methods or procedures as shall be established in good faith from time to time by the Board in accordance with applicable law.</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means any Participant who accepts an Offer in accordance with the terms of this Plan, or (where the context so permits) any person who is entitled to any Option in consequence of the death of the original Grantee.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Letter</w:t>
      </w:r>
      <w:r>
        <w:rPr>
          <w:rFonts w:ascii="Times New Roman" w:cs="Times New Roman" w:eastAsia="Times New Roman" w:hAnsi="Times New Roman"/>
          <w:sz w:val="18"/>
          <w:szCs w:val="18"/>
          <w:color w:val="auto"/>
        </w:rPr>
        <w:t>” means any written letter, agreement, contract or other instrument or document evidencing any Award granted under this Plan.</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PRC.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means the offer of the grant of an Option made in accordance with Section 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Date</w:t>
      </w:r>
      <w:r>
        <w:rPr>
          <w:rFonts w:ascii="Times New Roman" w:cs="Times New Roman" w:eastAsia="Times New Roman" w:hAnsi="Times New Roman"/>
          <w:sz w:val="18"/>
          <w:szCs w:val="18"/>
          <w:color w:val="auto"/>
        </w:rPr>
        <w:t>” means the date on which an Offer is made to a Participant.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 right granted to subscribe for the Shares pursuant to this Plan.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means a period to be notified by Mr. Dagang Feng to each Grantee in which an Option granted must be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period shall not be more than ten years commencing on the Offer Date). Mr. Dagang Feng may also impose restrictions on the exercise of an Option during the period an Option may be exercised.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means any Director, Employee or Business Associate who Mr. Dagang Feng considers, in his sole discretion, has contributed or will contribute to the Group.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 for the purposes of this Plan does not apply to Taiwan, Macau Special Administrative Region and Hong Kong.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2019 Share Incentive Plan in its present form or as amended from time to time in accordance with the provisions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Registrar</w:t>
      </w:r>
      <w:r>
        <w:rPr>
          <w:rFonts w:ascii="Times New Roman" w:cs="Times New Roman" w:eastAsia="Times New Roman" w:hAnsi="Times New Roman"/>
          <w:sz w:val="18"/>
          <w:szCs w:val="18"/>
          <w:color w:val="auto"/>
        </w:rPr>
        <w:t>” means the share registrar of the Company from time to time.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Class A ordinary shares, par value of US$0.0001 each in the capital of the Company (or of such other nominal amount as shall result from a sub-division, consolidation, reclassification or reconstruction of the share capital of the Company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any internationally recognized stock exchange.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entity in which the Company has at any time, directly or indirectly, securities or other ownership interests having ordinary voting power to elect a majority of the board of directors or other persons performing similar functions, and any entity which is controlled by the Company contractually.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United States dollars, the lawful currency of the United States.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(b)            In this Plan, save where the context otherwise requires:</w:t>
      </w:r>
    </w:p>
    <w:p>
      <w:pPr>
        <w:spacing w:after="0" w:line="225"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the headings are inserted for convenience only and shall not limit, vary, extend or otherwise affect the construction of any provision of this Plan;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references to paragraphs are references to paragraphs of this Plan;</w:t>
      </w:r>
    </w:p>
    <w:p>
      <w:pPr>
        <w:spacing w:after="0" w:line="225"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(iii)          references to any statute or statutory provision shall be construed as references to such statute or statutory provision as respectively amended, consolidated or re-enacted, or as its operation is modified by any other statute or statutory provision (whether with or without modification), and shall include any subsidiary legislation enacted under the relevant statute;</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expressions in the singular shall include the plural and vice versa;</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           expressions in any gender shall include other genders; and</w:t>
      </w:r>
    </w:p>
    <w:p>
      <w:pPr>
        <w:spacing w:after="0" w:line="225"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(vi)          references to persons shall include bodies corporate, corporations, partnerships, sole proprietorships, organizations, associations, enterprises and branches.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i w:val="1"/>
          <w:iCs w:val="1"/>
          <w:color w:val="auto"/>
        </w:rPr>
        <w:t>. Purpose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the Plan is to enhance the ability of the Company to attract and retain exceptionally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and to encourage them to acquire a proprietary interest in the growth and performance of the Company.</w:t>
      </w:r>
    </w:p>
    <w:p>
      <w:pPr>
        <w:spacing w:after="0" w:line="155"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i w:val="1"/>
          <w:iCs w:val="1"/>
          <w:color w:val="auto"/>
        </w:rPr>
        <w:t>.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take effect subject to the passing of a resolution by the Board to approve and adopt this Plan,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Mr. Dagang Feng to grant Options to subscribe for the Shares hereunder and to allot, issue and deal with the Shares pursuant to the exercise of any Options granted under this Plan.</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condition is not satisfied within 30 days after adoption of the Plan by the Board, this Plan and any Options granted under this Plan shall forthwith lapse and no person shall be entitled to any rights or benefits or be under any obligations under or in respect of the Plan.</w:t>
      </w:r>
    </w:p>
    <w:p>
      <w:pPr>
        <w:spacing w:after="0" w:line="158"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i w:val="1"/>
          <w:iCs w:val="1"/>
          <w:color w:val="auto"/>
        </w:rPr>
        <w:t>. Duration, Termination and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Subject to Section 3, this Plan shall be valid and effective for the period of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the Adoption Date and expiring on the day immediately prior to the earlier of (i) the date which is ten years after the Adoption Date; or</w:t>
      </w:r>
    </w:p>
    <w:p>
      <w:pPr>
        <w:spacing w:after="0" w:line="1" w:lineRule="exact"/>
        <w:rPr>
          <w:sz w:val="20"/>
          <w:szCs w:val="20"/>
          <w:color w:val="auto"/>
        </w:rPr>
      </w:pPr>
    </w:p>
    <w:p>
      <w:pPr>
        <w:jc w:val="both"/>
        <w:ind w:firstLine="8"/>
        <w:spacing w:after="0" w:line="255" w:lineRule="auto"/>
        <w:tabs>
          <w:tab w:leader="none" w:pos="2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resolution of the shareholders, or the Board, may at any time terminates the operation of this Plan, after which period no further Options will be granted but the provisions of this Plan shall remain in force to the extent necessary to give effect to the exercise of any Options which are granted during the life of the Plan or otherwise as may be required in accordance with the provisions of this Plan.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This Plan shall be subject to the administration of Mr. Dagang Feng and the decision of Mr. Dagang Feng shall be final and binding on all parties. Mr. Dagang Feng shall have the right (i) to interpret and construe the provisions of the Plan; (ii) to determine the persons who will be awarded Options under the Plan, and the number of Options awarded thereto; (iii) to make such appropriate and equitable adjustments to the terms of Options granted under the Plan as he or she deems necessary, provided that such adjustments shall not have a negative impact on the economic interests of the Grantee; and (iv) to make such other decisions or determinations as he or she shall deem appropriate in the administration of the Plan.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No member of the Board shall be personally liable by reason of any contract or other instrument executed by such member or on his behalf in his capacity as a member of the Board nor for any mistake of judgment made in good faith, and the Company shall indemnify and hold harmless each employee, officer or director of the Company to whom any duty or power relating to the administration or interpretation of the Plan may be allocated or delegated, against any cost or expense (including counsel fees) or liability (including any sum paid in settlement of a claim with the approval of the Board) arising out of any act or omission to act in connection with the Plan unless arising out of such person’s own fraud or bad faith.</w:t>
      </w:r>
    </w:p>
    <w:p>
      <w:pPr>
        <w:spacing w:after="0" w:line="179"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i w:val="1"/>
          <w:iCs w:val="1"/>
          <w:color w:val="auto"/>
        </w:rPr>
        <w:t>. Offer and Grant of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On and subject to the terms of this Plan, Mr. Dagang Feng shall be entitled at any time during the life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to make an Offer to any Participant, as Mr. Dagang Feng may in his absolute discretion select, to take up Options in respect of such number of Shares as Mr. Dagang Feng may determine at the Exercise Price. Subject to the terms and conditions of this Plan, Options may be granted on such terms and conditions in relation to their vesting, exercise or otherwise (e.g. by linking their exercise to the attainment or performance of milestones by any member of the Group, the Grantee or any group of Participants as Mr. Dagang Feng may determine).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Options shall entitle the Grantee to subscribe for the Shares on the terms set out in this Plan save that if, at the time the Grantee wishes to exercise an Option, such exercise of the Option, the issue of the Shares to the Grantee pursuant to the Plan, the registration of the Grantee as the holder of such Shares, the exercise and enjoyment of the rights attaching to such Shares or the performance of the obligations of the Company or the Grantee under this Plan, is not permitted by any applicable laws or regulations, the Options shall not entitle the Grantee to subscribe for the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An Offer shall be made to a Participant in the manner and in such form as Mr. Dagang Feng may from time to time determine requiring the Participant to undertake to hold the Options on the terms to be granted and to be bound by the provisions of this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Any Offer may be accepted in respect of less than the number of Shares to which the offered Option relates.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For certain Participants who were also participants of the share incentive plan adopted by Beijing Duoke Information Technology Co., Ltd. in December 2016 (the “</w:t>
      </w:r>
      <w:r>
        <w:rPr>
          <w:rFonts w:ascii="Times New Roman" w:cs="Times New Roman" w:eastAsia="Times New Roman" w:hAnsi="Times New Roman"/>
          <w:sz w:val="18"/>
          <w:szCs w:val="18"/>
          <w:b w:val="1"/>
          <w:bCs w:val="1"/>
          <w:color w:val="auto"/>
        </w:rPr>
        <w:t>2016 Incentive Plan</w:t>
      </w:r>
      <w:r>
        <w:rPr>
          <w:rFonts w:ascii="Times New Roman" w:cs="Times New Roman" w:eastAsia="Times New Roman" w:hAnsi="Times New Roman"/>
          <w:sz w:val="18"/>
          <w:szCs w:val="18"/>
          <w:color w:val="auto"/>
        </w:rPr>
        <w:t>”), Mr. Dagang Feng may determine to accelerate vesting of the Options granted to them under this Plan to mirror the respective vesting schedule of shares granted to them under the 2016 Incentive Plan as set forth in the Grant Letter;</w:t>
      </w:r>
    </w:p>
    <w:p>
      <w:pPr>
        <w:spacing w:after="0" w:line="172"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i w:val="1"/>
          <w:iCs w:val="1"/>
          <w:color w:val="auto"/>
        </w:rPr>
        <w:t>.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11, the Exercise Price shall be determined by Mr. Dagang Feng in his sole discretion and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Letter; provided, however, that, the per share exercise price of options granted to Participants who are subject to taxation under the Code shall not be less than the Fair Market Value of a Share on the date of grant of such Options, and that in no event shall the Exercise Price be less than the par value of the Shares to be issued.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i w:val="1"/>
          <w:iCs w:val="1"/>
          <w:color w:val="auto"/>
        </w:rPr>
        <w:t>. Exercise of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An Option shall be personal to the Grantee and shall not be assignable or transferable. No Grantee shall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way sell, transfer, charge, mortgage, encumber or otherwise dispose of or create any interest (legal or beneficial) in favor of any third party over or in relation to any Option or enter into any agreement so to do, except for (A) the transmission of an Option on the death of the Grantee to his personal representatives(s) according to the terms of this Plan, or (B) the transfer of any Option to any trustee, acting in its capacity as such trustee, of any trust of which the Grantee is a beneficiary. Any breach of the foregoing by a Grantee shall entitle the Company to cancel any Option granted to such Grantee to the extent not already exercised without incurring any liability on the part of the Company.</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A Grantee (or where permitted under Section 7 (d)(ii), his legal personal representative(s)) may exercise his Option in whole or in part by giving notice in the form required by the Company stating that the Option is thereby exercised and specifying the number of Shares to be subscribed; and by a payment for the full amount of the aggregate Exercise Price for the Shares in respect of which the notice is given. Within 5 Business Days or otherwise agreed after receipt of the notice and payment of the Exercise Price and any applicable withholding and, where appropriate, receipt of the Auditors’ or financial advisors’ certificate pursuant to Section 10(a), the Company shall allot, and shall instruct the Share Registrar to issue, the relevant Shares to the Grantee (or his personal representatives) credited as fully paid and issue to the Grantee (or his personal representatives) a share certificate in respect of the Shares so allotted.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Except as provided otherwise and subject to the terms and conditions upon which such Option was granted, the Option granted shall be exercisable in accordance with the following vesting schedule:</w:t>
      </w:r>
    </w:p>
    <w:p>
      <w:pPr>
        <w:spacing w:after="0" w:line="162" w:lineRule="exact"/>
        <w:rPr>
          <w:sz w:val="20"/>
          <w:szCs w:val="20"/>
          <w:color w:val="auto"/>
        </w:rPr>
      </w:pPr>
    </w:p>
    <w:p>
      <w:pPr>
        <w:ind w:left="1540" w:right="20" w:hanging="236"/>
        <w:spacing w:after="0" w:line="281" w:lineRule="auto"/>
        <w:tabs>
          <w:tab w:leader="none" w:pos="154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participant who has received a “B” or higher grade in his or her most recent annual evaluation, 25% of any Option granted shall vest and become exercisable on the first anniversary of the date of grant of such Option;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1540" w:right="20" w:hanging="236"/>
        <w:spacing w:after="0" w:line="281" w:lineRule="auto"/>
        <w:tabs>
          <w:tab w:leader="none" w:pos="15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participant who has received a “B” or higher grade in his or her most recent annual evaluation, 25% of any Option granted shall vest and become exercisable on the second anniversary of the date of grant of such Option;</w:t>
      </w:r>
    </w:p>
    <w:p>
      <w:pPr>
        <w:spacing w:after="0" w:line="162" w:lineRule="exact"/>
        <w:rPr>
          <w:rFonts w:ascii="Arial" w:cs="Arial" w:eastAsia="Arial" w:hAnsi="Arial"/>
          <w:sz w:val="18"/>
          <w:szCs w:val="18"/>
          <w:b w:val="1"/>
          <w:bCs w:val="1"/>
          <w:color w:val="auto"/>
        </w:rPr>
      </w:pPr>
    </w:p>
    <w:p>
      <w:pPr>
        <w:ind w:left="1540" w:right="20" w:hanging="236"/>
        <w:spacing w:after="0" w:line="281" w:lineRule="auto"/>
        <w:tabs>
          <w:tab w:leader="none" w:pos="15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participant who has received a “B” or higher grade in his or her most recent annual evaluation, 25% of any Option granted shall vest and become exercisable on the third anniversary of the date of grant of such Option; and</w:t>
      </w:r>
    </w:p>
    <w:p>
      <w:pPr>
        <w:spacing w:after="0" w:line="162" w:lineRule="exact"/>
        <w:rPr>
          <w:rFonts w:ascii="Arial" w:cs="Arial" w:eastAsia="Arial" w:hAnsi="Arial"/>
          <w:sz w:val="18"/>
          <w:szCs w:val="18"/>
          <w:b w:val="1"/>
          <w:bCs w:val="1"/>
          <w:color w:val="auto"/>
        </w:rPr>
      </w:pPr>
    </w:p>
    <w:p>
      <w:pPr>
        <w:ind w:left="1540" w:hanging="236"/>
        <w:spacing w:after="0" w:line="281" w:lineRule="auto"/>
        <w:tabs>
          <w:tab w:leader="none" w:pos="15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participant who has received a “B” or higher grade in his or her most recent annual evaluation, the remaining 25% of any Option granted shall vest and become exercisable on the fourth anniversary of the date of grant of such Option;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227"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in the event a Grantee terminates his employment or service on account of other than on one or more of the grounds of termination of employment, appointment or directorship specified in Section 8(f);</w:t>
      </w:r>
    </w:p>
    <w:p>
      <w:pPr>
        <w:spacing w:after="0" w:line="162" w:lineRule="exact"/>
        <w:rPr>
          <w:sz w:val="20"/>
          <w:szCs w:val="20"/>
          <w:color w:val="auto"/>
        </w:rPr>
      </w:pPr>
    </w:p>
    <w:p>
      <w:pPr>
        <w:ind w:left="660" w:right="100" w:firstLine="972"/>
        <w:spacing w:after="0" w:line="282" w:lineRule="auto"/>
        <w:rPr>
          <w:sz w:val="20"/>
          <w:szCs w:val="20"/>
          <w:color w:val="auto"/>
        </w:rPr>
      </w:pPr>
      <w:r>
        <w:rPr>
          <w:rFonts w:ascii="Times New Roman" w:cs="Times New Roman" w:eastAsia="Times New Roman" w:hAnsi="Times New Roman"/>
          <w:sz w:val="18"/>
          <w:szCs w:val="18"/>
          <w:color w:val="auto"/>
        </w:rPr>
        <w:t>(ii)           in the event a Grantee's conduct results in a material violation of any applicable law, regulation, the Company’s memorandum and articles of association or internal policies;</w:t>
      </w:r>
    </w:p>
    <w:p>
      <w:pPr>
        <w:spacing w:after="0" w:line="162"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(iii)          in the event a Grantee engages in any illegal conducts and is subject to criminal penalties, except as otherwise as determined by Mr. Dagang Feng;</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(iv)         in the event a Grantee engages in any disloyal conducts against the Company, including but not limited to, resigning from the Company and entering into employment with any company or entity that is engaged in any business directly or indirectly competing with the Company, and benefitting from any related party transaction, unless otherwise notified to and approved by the Company;</w:t>
      </w:r>
    </w:p>
    <w:p>
      <w:pPr>
        <w:spacing w:after="0" w:line="176"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(v)          in the event a Grantee’s conduct results in a substantial breach of any agreements with the Company, including but not limited to, disclosing any confidential information such as trade secrets, and failing to perform his or her obligations as an employee of the Company (except in the case of his or her incapacitation or death);</w:t>
      </w:r>
    </w:p>
    <w:p>
      <w:pPr>
        <w:spacing w:after="0" w:line="176"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(vi)          in the event a Grantee engages in any other conduct that has a material adverse effect on the Company’s business, reputation or financial conditions;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         in the event of a Grantee’s death; or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(viii)        in other events as determined by Mr. Dagang Feng;</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Options that are unvested as of the date of such event shall lapse, unless Mr. Dagang Feng otherwise determines in writing that such unvested Options shall not lapse and will continue to remain valid, such termination notwithstanding.</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Subject to (A) the condition specified in Section 3 being fully satisfied, and (B) the terms and conditions on which such Option was granted, Options vested may be exercised by the Grantee at any time during the Option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            in the events specified in Section 7(c), the Grantee shall be entitled to exercise the Option up to the vested entitlement of such Grantee as at the date of such termination (to the extent he is entitled to exercise at the date of termination but not already exercised pursuant to the terms of this Plan and the terms of grant), failing which it will lapse;</w:t>
      </w:r>
    </w:p>
    <w:p>
      <w:pPr>
        <w:spacing w:after="0" w:line="176"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(ii)           if a general offer by way of voluntary offer, takeover or otherwise (other than by way of Plan of arrangement pursuant to Section 7(d)(iii) below) is made to all the holders of Shares (or all such holders other than the offeror and any person controlled by the offeror and any person acting in association or concert with the offeror) and such offer becomes or is declared unconditional prior to the expiry date of the relevant Option, the Company shall forthwith give notice thereof to the Grantee and the Grantee shall be entitled to exercise the Option to its full extent or, if the Company shall give the relevant notification, to the extent notified by the Company at any time within such period as shall be notified by the Company;</w:t>
      </w:r>
    </w:p>
    <w:p>
      <w:pPr>
        <w:spacing w:after="0" w:line="187"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(iii)          if a general offer for Shares by way of Plan of arrangement is made to all the holders of Shares and has been approved by the necessary number of holders of Shares at the requisite meetings, the Company shall forthwith give notice thereof to the Grantee and the Grantee may at any time thereafter (but before such time as shall be notified by the Company) exercise the Option to its full extent or, if the Company shall give the relevant notification, to the extent notified by the Company;</w:t>
      </w:r>
    </w:p>
    <w:p>
      <w:pPr>
        <w:spacing w:after="0" w:line="180"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(iv)          in the event a notice is given by the Company to its shareholders to convene a shareholders’ meeting for the purpose of considering and, if thought fit, approving a resolution to voluntarily wind-up the Company, the Company shall forthwith give notice thereof to the Grantee and the Grantee may at any time thereafter (but before such time as shall be notified by the Company) exercise the Option to its full extent or, if the Company shall give the relevant notification, to the extent notified by the Company, and the Company shall as soon as possible and in any event no later than three days prior to the date of the proposed shareholders’ meeting, allot, issue and register in the name of the Grantee such number of fully paid Shares which fall to be issued on exercise of such Option; and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(v)          in the event of a compromise or arrangement, other than a plan of arrangement contemplated in Section 7(d)(iii) above, between the Company and its members and/or creditors being proposed in connection with a plan for the reconstruction or amalgamation of the Company, the Company shall give notice thereof to all Grantees on the same day as it first gives notice of the meeting to its members and/or creditors to consider such a plan or arrangement and the Grantee may at any time thereafter but before such time as shall be notified by the Company exercise the Option to its full extent or, if the Company shall give the relevant notification, to the extent notified by the Company, and the Company shall as soon as possible and in any event no later than 3 days prior to the date of the proposed meeting, allot, issue and register in the name of the Grantee such number of fully paid Shares which fall to be issued on exercise of such Option.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occurrence of any of the events referred to in Sections 7(d)(ii) to 7(d)(v), the Company may in its discretion and notwithstanding the terms of the relevant Option also give notice to a Grantee that his Option may be exercised at any time within such period as shall be notified by the Company and/or to the extent (not being less than the extent to which it could then be exercised in accordance with its terms) notified by the Company. If the Company gives such notice that any Option shall be exercised in part only, the balance of the Option shall lapse.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The Shares to be allotted and issued upon the exercise of an Option will be subject to the provisions of the articles of association of the Company for the time being in force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fully paid Shares in issue as from the date of exercise of the Option and in particular will entitle the holders to participate in all dividends or other distributions paid or made on or after the date of exercise of the Option other than any dividend or other distribution previously declared or recommended or resolved to be paid or made if the record date therefor is before the date of exercise of the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always that when the date of exercise of the Option falls on a date upon which the register of members of the Company is closed then the exercise of the Option shall become effective on the next available Business Day on which the register of members of the Company is re-opened.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Mr. Dagang Feng may at any time, with the mutual consent of the Grantee, cancel Options previously granted to, but not yet exercised by a Grantee. Where the Company cancels Options and, in compliance with applicable law, offers Options to the same Grantee, the offer of such new Options may only be made with available Options to the extent not yet granted (excluding the cancelled Options) within the limit as mentioned in Section 10(a) of this Plan.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i w:val="1"/>
          <w:iCs w:val="1"/>
          <w:color w:val="auto"/>
        </w:rPr>
        <w:t>. Lapse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shall lapse automatically (to the extent (A) not already vested in accordance with Section 7(c),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vested but not already exercised) on the earliest of: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expiry of the Option Period (subject to the provisions of Section 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expiry of the periods for exercising the Option as referred to in Section 7(d)(i), (ii) or (v);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subject to the Plan of arrangement becoming effective, the expiry of the period for exercising the Option referred to in Section 7(d)(iii);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subject to Section 7(d)(iv), the date of commencement of the winding up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date on which the Grantee commits a breach of Section 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date on which:</w:t>
      </w:r>
    </w:p>
    <w:p>
      <w:pPr>
        <w:spacing w:after="0" w:line="225"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           subject to Section 7(c)(i), the Grantee (being an Employee or Director of any member of the Group) ceases to be an employee, an officer or a director by reason of the termination of his employment, appointment or directorship, unless Mr. Dagang Feng otherwise determines in writing that such unvested Options shall not lapse and will continue to remain valid, such termination notwithstanding;</w:t>
      </w:r>
    </w:p>
    <w:p>
      <w:pPr>
        <w:spacing w:after="0" w:line="176"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           the Grantee (being an Employee) serves as an employee, director or officer of any other companies that are not a member of the Group, and/or, whether alone or jointly with others, carried on or be concerned or interested, directly or indirectly, whether as shareholder, employee, director, investor, consultant, adviser, partner or agent in any types of business which are in competition with or in opposition to any business of any member of the Group as determined by Mr. Dagang Feng in his sole discretion;</w:t>
      </w:r>
    </w:p>
    <w:p>
      <w:pPr>
        <w:spacing w:after="0" w:line="180"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(iii)          the Grantee being a Business Associate is under any contract with the Group, such contract is terminated by reason of breach of contract on the part of the Business Associate or the Grantee ceases to be a Business Associate for any other reason;</w:t>
      </w:r>
    </w:p>
    <w:p>
      <w:pPr>
        <w:spacing w:after="0" w:line="16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(iv)          the Grantee being a Business Associate, appears either to be unable to pay or have no reasonable prospect to be able to pay debts, or has become insolvent, or has made any arrangements or composition with his or her creditors generally, or ceases or threaten to cease to carry on its business, or is wound up, or has an administrator or liquidator being appointed for the whole or any part of its undertaking or assets; or has been convicted of any criminal offence involving integrity or honesty; or</w:t>
      </w:r>
    </w:p>
    <w:p>
      <w:pPr>
        <w:spacing w:after="0" w:line="180"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(v)          unless Mr. Dagang Feng otherwise determines, and other than in the circumstances referred to in Section 7(d), the date the Grantee ceases to be a Participant (as determined by a Board resolution) for any reason;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(g)           the date on which the Option is cancelled by Mr. Dagang Feng as provided in Section 7(f);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the date on which this Plan terminates pursuant to Section 4(a).</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i w:val="1"/>
          <w:iCs w:val="1"/>
          <w:color w:val="auto"/>
        </w:rPr>
        <w:t>. Redemption.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In the events specified in Section 7(c), the Company shall, upon and from the date of such events, have an irrevocable, exclusive, assignable right (the “</w:t>
      </w:r>
      <w:r>
        <w:rPr>
          <w:rFonts w:ascii="Times New Roman" w:cs="Times New Roman" w:eastAsia="Times New Roman" w:hAnsi="Times New Roman"/>
          <w:sz w:val="18"/>
          <w:szCs w:val="18"/>
          <w:b w:val="1"/>
          <w:bCs w:val="1"/>
          <w:color w:val="auto"/>
        </w:rPr>
        <w:t>Redemption Right</w:t>
      </w:r>
      <w:r>
        <w:rPr>
          <w:rFonts w:ascii="Times New Roman" w:cs="Times New Roman" w:eastAsia="Times New Roman" w:hAnsi="Times New Roman"/>
          <w:sz w:val="18"/>
          <w:szCs w:val="18"/>
          <w:color w:val="auto"/>
        </w:rPr>
        <w:t>”), to redeem all or any portion of the Shares subject to the Options that are vested and any Shares acquired upon exercise of any portion of the Option.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           The Company (or its assignee) may exercise the Redemption Right in the Company’s sole discretion, and in no event shall the Company (or its assignee) be obligated to exercise the Redemption Right. Each participant agrees and acknowledges that upon receipt of the written notice of redemption of any portion of the Options or Shares purchased under the Options, the Participant shall have no further rights to such portion of the Options or such Shares, as applicable.</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(c)            In the events specified in Section 7 (c)(ii) to (vi), unless otherwise determined by Mr. Dagang Feng, the Option granted to such Grantee terminates automatically on the date of such event. The Company (or its assignee) may acquire the Shares at the lower of the Exercise Price and the minimal price as prescribed by the law.</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            In the events specified in Section 7 (c) (i), (vii) and (viii), the Company (or its assignee) may acquire the Shares at the price determined by Mr. Dagang Feng based on factors including but not limited to the net asset value per share, valuations and price-to-earning ratio of the Company.</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i w:val="1"/>
          <w:iCs w:val="1"/>
          <w:color w:val="auto"/>
        </w:rPr>
        <w:t>. Maximum Number of Shares Subject to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The total number of Shares which may be issued upon exercise of Options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this Plan shall not exceed in aggregate 296,556,000 Shares.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The maximum number of Shares referred to in Sections 10(a) may be adjusted upon the occurrence of such events and in such manner as described in Section 11.</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i w:val="1"/>
          <w:iCs w:val="1"/>
          <w:color w:val="auto"/>
        </w:rPr>
        <w:t>. Reorganization of Capital 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In the event of any alteration in the capital structure of the Company by way of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profits or reserves, rights issue, sub-division or consolidation of Shares or reduction of share capital of the Company, but excluding, for the avoidance of doubt, any alteration in the capital structure of the Company as a result of an issue of Shares or other securities of the Group as consideration in a transaction to which the Company is a party, the Auditors or the financial advisors engaged by the Company for such purpose shall determine what equitable adjustment is required to be made to:</w:t>
      </w:r>
    </w:p>
    <w:p>
      <w:pPr>
        <w:spacing w:after="0" w:line="183" w:lineRule="exact"/>
        <w:rPr>
          <w:sz w:val="20"/>
          <w:szCs w:val="20"/>
          <w:color w:val="auto"/>
        </w:rPr>
      </w:pPr>
    </w:p>
    <w:p>
      <w:pPr>
        <w:ind w:left="660" w:right="460" w:firstLine="972"/>
        <w:spacing w:after="0" w:line="282" w:lineRule="auto"/>
        <w:rPr>
          <w:sz w:val="20"/>
          <w:szCs w:val="20"/>
          <w:color w:val="auto"/>
        </w:rPr>
      </w:pPr>
      <w:r>
        <w:rPr>
          <w:rFonts w:ascii="Times New Roman" w:cs="Times New Roman" w:eastAsia="Times New Roman" w:hAnsi="Times New Roman"/>
          <w:sz w:val="18"/>
          <w:szCs w:val="18"/>
          <w:color w:val="auto"/>
        </w:rPr>
        <w:t>(i)            the number and type of Shares or other securities then available for Awards under the Plan are subject to any unexercised Option; and/or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Exercise Price; and/or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the method of exercise of the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the Auditors or such financial advisors shall certify in writing to the Board that such adjustments are in their/his opinion fair and reasonable. The capacity of the Auditors or financial advisors in this paragraph is that of experts and not of arbitrators and their certification shall, in the absence of manifest error, be final and binding on the Company and the Grantees. The costs of the Auditors or financial advisors shall be borne by the Company.</w:t>
      </w:r>
    </w:p>
    <w:p>
      <w:pPr>
        <w:spacing w:after="0" w:line="17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(b)            For the avoidance of doubt, following the date on which the Shares first commence trading on a Stock Exchange the events set forth in Section 11(a) above shall include any extraordinary cash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in each case in respect of which an adjustment is appropriate in order to prevent dilution or enlargement of the benefits or potential benefits intended to be made available under the Plan.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Any such adjustments shall give each Participant the same proportion of the equity capital of the Company for which such Participant was entitled to subscribe for prior to such adjustments and any adjustments to the advantage of the Participants to the Exercise Price or to the number of Shares subject to the Options must be approved by the shareholders of the Company in general meeting. No adjustment may be made to the extent that Shares would be issued at less than their nominal value.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If there has been any alteration in the capital structure of the Company as referred to in Section 11(a), the Company shall, upon receipt of a notice from a Grantee in accordance with Section 7(b), inform the Grantee of such alteration and shall either inform the Grantee of the adjustment to be made in accordance with the certificate of the Auditors or the financial advisors engaged by the Company for such purpose or, if no such certificate has yet been obtained, inform the Grantee of such fact and instruct the Auditors or the financial advisors as soon as practicable thereafter to issue a certificate in that regard in accordance with Section 11(a).</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i w:val="1"/>
          <w:iCs w:val="1"/>
          <w:color w:val="auto"/>
        </w:rPr>
        <w:t>. Share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any Option shall be subject to the shareholders of the Company in general meeting approving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increase in the authorized share capital of the Company. Subject thereto, the Board shall make available sufficient authorized but unissued share capital of the Company to meet subsisting requirements on the exercise of Options.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i w:val="1"/>
          <w:iCs w:val="1"/>
          <w:color w:val="auto"/>
        </w:rPr>
        <w:t>. Disputes.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 arising in connection with this Plan (whether as to the number of Shares the subject of an Option,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or otherwise) may be determined by Mr. Dagang Feng, the decision of which shall be final and binding on all parties who may be affected thereby.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i w:val="1"/>
          <w:iCs w:val="1"/>
          <w:color w:val="auto"/>
        </w:rPr>
        <w:t>. Alteration of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Subject to the terms set out in the paragraph below, the Board may amend any of the provisions of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amendments in order to comply with changes in legal or regulatory requirements and in order to waive any restrictions, imposed by the provisions of this Plan) at any time (but not so as to affect adversely any rights which have accrued to any Grantee at that date).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Any change to the authority of the Board in relation to any alteration to the terms of this Plan must be approved by shareholders of the Company in general meeting.</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i w:val="1"/>
          <w:iCs w:val="1"/>
          <w:color w:val="auto"/>
        </w:rPr>
        <w:t>. 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This Plan shall not form part of any contract of employment or engagement of services between the Group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rights and obligations of any Participant under the terms of his office, employment or engagement in services shall not be affected by the participation of the Participants in this Plan or any right which he may have to participate in it and this Plan shall afford such a Participant no additional rights to compensation or damages in consequence of the termination of such office, employment or engagement for any reason.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This Plan shall not confer on any person any legal or equitable right (other than those rights constituting the Options themselves) against the Company directly or indirectly or give rise to any cause of action at law or in equity against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Company shall bear the costs of establishing and administering this Plan.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Any notice or other communication between the Company and a Grantee may be sent by prepaid post, by electronic means, or by personal delivery to, in the case of the Company, its principal place of business in the PRC or such other address as notified to the Grantee from time to time and, in the case of the Grantee, his address in the PRC or such other address as notified to the Company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Any notice or other communication served by post: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by the Company shall be deemed to have been served 24 hours after the same was put in the post; and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by the Grantee shall not be deemed to have been received until the same shall have been received by the Company.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Any notice or other communication served by electronic means by the Company or the Grantee shall be deemed to have been served if the sender did not receive a failure of receipt notification.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All allotments and issues of the Shares will be subject to all necessary consents under any relevant legislation for the time being in force in the PRC, Hong Kong and the Cayman Islands, and a Grantee shall be responsible for obtaining any governmental or other official consent or approval that may be required by any country or jurisdiction in order to permit the grant or exercise of the Option. The Company shall not be responsible for any failure by a Grantee to obtain any such consent or approval or for any tax or other liability to which a Grantee may become subject as a result of his or her participation in this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This Plan and all Options granted hereunder shall be governed by and construed in accordance with the laws of the Cayman Islands.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This Plan is intended to comply with the requirements of Section 409A of the Code and the regulations and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with respect to Awards made to or held by any Participant who is subject to taxation under the Code. The provisions of this Plan shall be interpreted in a manner that satisfies such requirements, and this Plan shall be operated accordingly. If any provision of this Plan would otherwise frustrate or conflict with this intent, the provision will be interpreted and deemed amended so as to avoid this conflict. If an operational failure occurs with respect to the requirements of Section 409A, any affected Participant shall fully cooperate with the Company to correct the failure, to the extent possible, in accordance with any correction procedure established by the Internal Revenue Service. No provision of this Plan shall be interpreted to transfer any liability for a failure to comply with Section 409A from a Participant or any other Person to the Company. Notwithstanding any provision of this Plan or any Grant Letter, if at the time of termination of a Participant's employment or service with the Company he or she is a "specified employee" (as defined in Section 409A) and any payments upon such termination under this Plan or such Grant Letter are treated as deferred compensation subject to Section 409A, he or she will not be entitled to such payments until the earlier of (i) the date that is six months after such termination or (ii) any earlier date that does not result in any additional tax or interest to such Participant under Section 409A.</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Dagang Feng,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by Amendment No. 1 thereto, of 36Kr Holdings Inc. (the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Dagang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Dagang Feng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Xiang Li,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by Amendment No. 1 thereto, of 36Kr Holdings Inc. (the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25"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Xiang Li</w:t>
      </w:r>
    </w:p>
    <w:p>
      <w:pPr>
        <w:spacing w:after="0" w:line="23"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36Kr Holdings Inc. (the “Company”) on Form 20-F for the year ended December 31, 2025 as filed with the Securities and Exchange Commission on April 23, 2026, as amended by Amendment No. 1 thereto (the “Report”), I, Dagang Feng,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00" w:lineRule="auto"/>
        <w:tabs>
          <w:tab w:leader="none" w:pos="2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19, 2026</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Dagang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Dagang Feng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36Kr Holdings Inc. (the “Company”) on Form 20-F for the year ended December 31, 2025 as filed with the Securities and Exchange Commission on April 23, 2026, as amended by Amendment No. 1 thereto (the “Report”), I, Xiang Li, Chief Financial Officer of the Company, certify, pursuant to 18 U.S.C. Section 1350, as adopted pursuant to Section 906 of the Sarbanes-Oxley Act of 2002, that to my knowledge:</w:t>
      </w:r>
    </w:p>
    <w:p>
      <w:pPr>
        <w:spacing w:after="0" w:line="158"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00" w:lineRule="auto"/>
        <w:tabs>
          <w:tab w:leader="none" w:pos="2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19, 2026</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829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Xiang Li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x"/>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Roman"/>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upperLetter"/>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97"/>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Roman"/>
      <w:start w:val="2"/>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69" Type="http://schemas.openxmlformats.org/officeDocument/2006/relationships/image" Target="media/image51.png"/><Relationship Id="rId81"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54" Type="http://schemas.openxmlformats.org/officeDocument/2006/relationships/hyperlink" Target="https://www.sec.gov/Archives/edgar/data/1779476/000110465926063382/tm2614934d1_ex3-1.htm" TargetMode="External"/><Relationship Id="rId59" Type="http://schemas.openxmlformats.org/officeDocument/2006/relationships/hyperlink" Target="https://www.sec.gov/Archives/edgar/data/1779476/000104746919005931/a2239808zex-4_3.htm" TargetMode="External"/><Relationship Id="rId60" Type="http://schemas.openxmlformats.org/officeDocument/2006/relationships/hyperlink" Target="https://www.sec.gov/Archives/edgar/data/1779476/000104746919005931/a2239808zex-4_2.htm" TargetMode="External"/><Relationship Id="rId61" Type="http://schemas.openxmlformats.org/officeDocument/2006/relationships/hyperlink" Target="https://www.sec.gov/Archives/edgar/data/1779476/000110465921056812/a21-3508_1ex2d4.htm#Exhibit2_4_071547" TargetMode="External"/><Relationship Id="rId62" Type="http://schemas.openxmlformats.org/officeDocument/2006/relationships/hyperlink" Target="https://www.sec.gov/Archives/edgar/data/1779476/000104746919005518/a2239638zex-10_2.htm" TargetMode="External"/><Relationship Id="rId63" Type="http://schemas.openxmlformats.org/officeDocument/2006/relationships/hyperlink" Target="https://www.sec.gov/Archives/edgar/data/1779476/000104746919005518/a2239638zex-10_3.htm" TargetMode="External"/><Relationship Id="rId64" Type="http://schemas.openxmlformats.org/officeDocument/2006/relationships/hyperlink" Target="https://www.sec.gov/Archives/edgar/data/1779476/000104746919005518/a2239638zex-10_10.htm" TargetMode="External"/><Relationship Id="rId65" Type="http://schemas.openxmlformats.org/officeDocument/2006/relationships/hyperlink" Target="https://www.sec.gov/Archives/edgar/data/1779476/000104746919005518/a2239638zex-10_11.htm" TargetMode="External"/><Relationship Id="rId66" Type="http://schemas.openxmlformats.org/officeDocument/2006/relationships/hyperlink" Target="https://www.sec.gov/Archives/edgar/data/1779476/000104746919005518/a2239638zex-10_12.htm" TargetMode="External"/><Relationship Id="rId67" Type="http://schemas.openxmlformats.org/officeDocument/2006/relationships/hyperlink" Target="https://www.sec.gov/Archives/edgar/data/1779476/000104746919005518/a2239638zex-10_13.htm" TargetMode="External"/><Relationship Id="rId68" Type="http://schemas.openxmlformats.org/officeDocument/2006/relationships/hyperlink" Target="https://www.sec.gov/Archives/edgar/data/1779476/000104746919005518/a2239638zex-10_14.htm" TargetMode="External"/><Relationship Id="rId70" Type="http://schemas.openxmlformats.org/officeDocument/2006/relationships/hyperlink" Target="https://www.sec.gov/Archives/edgar/data/1779476/000104746919005518/a2239638zex-10_15.htm" TargetMode="External"/><Relationship Id="rId71" Type="http://schemas.openxmlformats.org/officeDocument/2006/relationships/hyperlink" Target="https://www.sec.gov/Archives/edgar/data/1779476/000104746919005518/a2239638zex-10_16.htm" TargetMode="External"/><Relationship Id="rId72" Type="http://schemas.openxmlformats.org/officeDocument/2006/relationships/hyperlink" Target="https://www.sec.gov/Archives/edgar/data/1779476/000104746919005518/a2239638zex-10_17.htm" TargetMode="External"/><Relationship Id="rId73" Type="http://schemas.openxmlformats.org/officeDocument/2006/relationships/hyperlink" Target="https://www.sec.gov/Archives/edgar/data/1779476/000104746919005518/a2239638zex-10_18.htm" TargetMode="External"/><Relationship Id="rId74" Type="http://schemas.openxmlformats.org/officeDocument/2006/relationships/hyperlink" Target="https://www.sec.gov/Archives/edgar/data/1779476/000104746919005518/a2239638zex-10_19.htm" TargetMode="External"/><Relationship Id="rId75" Type="http://schemas.openxmlformats.org/officeDocument/2006/relationships/hyperlink" Target="https://www.sec.gov/Archives/edgar/data/1779476/000104746919005518/a2239638zex-10_20.htm" TargetMode="External"/><Relationship Id="rId76" Type="http://schemas.openxmlformats.org/officeDocument/2006/relationships/hyperlink" Target="https://www.sec.gov/Archives/edgar/data/1779476/000104746919005518/a2239638zex-10_21.htm" TargetMode="External"/><Relationship Id="rId77" Type="http://schemas.openxmlformats.org/officeDocument/2006/relationships/hyperlink" Target="https://www.sec.gov/Archives/edgar/data/1779476/000104746919005518/a2239638zex-10_22.htm" TargetMode="External"/><Relationship Id="rId78" Type="http://schemas.openxmlformats.org/officeDocument/2006/relationships/hyperlink" Target="https://www.sec.gov/Archives/edgar/data/1779476/000104746919005518/a2239638zex-10_23.htm" TargetMode="External"/><Relationship Id="rId79" Type="http://schemas.openxmlformats.org/officeDocument/2006/relationships/hyperlink" Target="https://www.sec.gov/Archives/edgar/data/1779476/000110465923050329/krkr-20221231xex4d18.htm" TargetMode="External"/><Relationship Id="rId80" Type="http://schemas.openxmlformats.org/officeDocument/2006/relationships/hyperlink" Target="https://www.sec.gov/Archives/edgar/data/1779476/000110465923050329/krkr-20221231xex4d19.htm" TargetMode="External"/><Relationship Id="rId82" Type="http://schemas.openxmlformats.org/officeDocument/2006/relationships/hyperlink" Target="https://www.sec.gov/Archives/edgar/data/1779476/000110465923050329/krkr-20221231xex4d20.htm" TargetMode="External"/><Relationship Id="rId83" Type="http://schemas.openxmlformats.org/officeDocument/2006/relationships/hyperlink" Target="https://www.sec.gov/Archives/edgar/data/1779476/000110465923050329/krkr-20221231xex4d21.htm" TargetMode="External"/><Relationship Id="rId84" Type="http://schemas.openxmlformats.org/officeDocument/2006/relationships/hyperlink" Target="https://www.sec.gov/Archives/edgar/data/1779476/000110465923050329/krkr-20221231xex4d22.htm" TargetMode="External"/><Relationship Id="rId85" Type="http://schemas.openxmlformats.org/officeDocument/2006/relationships/hyperlink" Target="https://www.sec.gov/Archives/edgar/data/1779476/000110465923050329/krkr-20221231xex4d23.htm" TargetMode="External"/><Relationship Id="rId86" Type="http://schemas.openxmlformats.org/officeDocument/2006/relationships/hyperlink" Target="https://www.sec.gov/Archives/edgar/data/1779476/000110465922049607/krkr-20211231xex4d24.htm" TargetMode="External"/><Relationship Id="rId87" Type="http://schemas.openxmlformats.org/officeDocument/2006/relationships/hyperlink" Target="https://www.sec.gov/Archives/edgar/data/1779476/000110465922049607/krkr-20211231xex4d25.htm" TargetMode="External"/><Relationship Id="rId88" Type="http://schemas.openxmlformats.org/officeDocument/2006/relationships/hyperlink" Target="https://www.sec.gov/Archives/edgar/data/1779476/000104746919005518/a2239638zex-21_1.htm" TargetMode="External"/><Relationship Id="rId89" Type="http://schemas.openxmlformats.org/officeDocument/2006/relationships/hyperlink" Target="https://www.sec.gov/Archives/edgar/data/1779476/000104746919005518/a2239638zex-99_1.htm" TargetMode="External"/><Relationship Id="rId90" Type="http://schemas.openxmlformats.org/officeDocument/2006/relationships/hyperlink" Target="https://www.sec.gov/Archives/edgar/data/1779476/000141057825000775/krkr-20241231xex11d2.htm" TargetMode="External"/><Relationship Id="rId91" Type="http://schemas.openxmlformats.org/officeDocument/2006/relationships/hyperlink" Target="https://www.sec.gov/Archives/edgar/data/1779476/000110465926047351/krkr-20251231xex15d1.htm" TargetMode="External"/><Relationship Id="rId92" Type="http://schemas.openxmlformats.org/officeDocument/2006/relationships/hyperlink" Target="https://www.sec.gov/Archives/edgar/data/1779476/000110465926047351/krkr-20251231xex15d2.htm" TargetMode="External"/><Relationship Id="rId93" Type="http://schemas.openxmlformats.org/officeDocument/2006/relationships/hyperlink" Target="https://www.sec.gov/Archives/edgar/data/1779476/000110465924051612/krkr-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2026-05-19T06:34:05Z</dcterms:created>
  <dcterms:modified xsi:type="dcterms:W3CDTF">2026-05-19T06:34:05Z</dcterms:modified>
</cp:coreProperties>
</file>