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9528-1_4seq1.xml.htm"/>
      <w:bookmarkStart w:id="1" w:name="kstm2619528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Feng Dagang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36KR B6 UNIVERSAL BUSINESS PARK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36Kr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KRKR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0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1071"/>
        <w:gridCol w:w="276"/>
        <w:gridCol w:w="906"/>
        <w:gridCol w:w="801"/>
        <w:gridCol w:w="861"/>
        <w:gridCol w:w="12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30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0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Share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58,787,000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06/30/2037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58,787,000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0.0001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91,033,622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options were granted on July 1st, 2026, and vest in equal installments over a four-year period.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/s/Dagang Feng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01856" TargetMode="External"/><Relationship Id="rId5" Type="http://schemas.openxmlformats.org/officeDocument/2006/relationships/hyperlink" Target="http://www.sec.gov/cgi-bin/browse-edgar?action=getcompany&amp;CIK=0001779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3216</Characters>
  <CharactersWithSpaces>3733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