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6997700" cy="4067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06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LI XIANG NEIL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36KR B6 UNIVERSAL BUSINESS PARK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36Kr Holdings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KRKR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46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83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Financial Officer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BEIJING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F4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1,300,000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06/30/2037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0.0001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1,800,000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-1631950</wp:posOffset>
            </wp:positionV>
            <wp:extent cx="28575" cy="16376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37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options were granted on July 1st, 2026, and vest in equal installments over a four-year period.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Xiang Li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07/02/2026</w:t>
            </w:r>
          </w:p>
        </w:tc>
      </w:tr>
      <w:tr>
        <w:trPr>
          <w:trHeight w:val="20"/>
        </w:trPr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21291" TargetMode="External"/><Relationship Id="rId14" Type="http://schemas.openxmlformats.org/officeDocument/2006/relationships/hyperlink" Target="http://www.sec.gov/cgi-bin/browse-edgar?action=getcompany&amp;CIK=0001779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2026-07-02T05:31:04Z</dcterms:created>
  <dcterms:modified xsi:type="dcterms:W3CDTF">2026-07-02T05:31:04Z</dcterms:modified>
</cp:coreProperties>
</file>