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538-1_f3a.htm"/>
        <w:bookmarkStart w:id="1" w:name="kstm26255381_f3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80" w:before="557" w:after="437"/>
        <w:ind w:left="54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As filed with the Securities and Exchange Commission on September 22, 2026</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20" w:after="283"/>
        <w:jc w:val="righ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Registration No. 333-290526</w:t>
      </w:r>
      <w:r>
        <w:rPr>
          <w:rFonts w:ascii="Times New Roman;Times;serif" w:hAnsi="Times New Roman;Times;serif"/>
          <w:b/>
          <w:i w:val="false"/>
          <w:caps w:val="false"/>
          <w:smallCaps w:val="false"/>
          <w:color w:val="000000"/>
          <w:sz w:val="17"/>
        </w:rPr>
        <w:t>​</w:t>
      </w:r>
    </w:p>
    <w:p>
      <w:pPr>
        <w:pStyle w:val="TextBody"/>
        <w:bidi w:val="0"/>
        <w:spacing w:before="49"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6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16"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Washington, D.C. 20549</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4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Amendment No. 1</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2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to</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330" w:before="6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F-3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40" w:after="283"/>
        <w:jc w:val="center"/>
        <w:rPr>
          <w:rFonts w:ascii="Times New Roman;Times;serif" w:hAnsi="Times New Roman;Times;serif"/>
          <w:b/>
          <w:i/>
          <w:caps w:val="false"/>
          <w:smallCaps w:val="false"/>
          <w:color w:val="000000"/>
          <w:sz w:val="17"/>
        </w:rPr>
      </w:pPr>
      <w:r>
        <w:rPr>
          <w:rFonts w:ascii="Times New Roman;Times;serif" w:hAnsi="Times New Roman;Times;serif"/>
          <w:b/>
          <w:i/>
          <w:caps w:val="false"/>
          <w:smallCaps w:val="false"/>
          <w:color w:val="000000"/>
          <w:spacing w:val="-3"/>
          <w:sz w:val="17"/>
        </w:rPr>
        <w:t xml:space="preserve">REGISTRATION STATEMENT </w:t>
      </w:r>
      <w:r>
        <w:rPr>
          <w:rFonts w:ascii="Times New Roman;Times;serif" w:hAnsi="Times New Roman;Times;serif"/>
          <w:b/>
          <w:i/>
          <w:caps w:val="false"/>
          <w:smallCaps w:val="false"/>
          <w:color w:val="000000"/>
          <w:sz w:val="17"/>
        </w:rPr>
        <w:br/>
      </w:r>
      <w:r>
        <w:rPr>
          <w:rFonts w:ascii="Times New Roman;Times;serif" w:hAnsi="Times New Roman;Times;serif"/>
          <w:b/>
          <w:i/>
          <w:caps w:val="false"/>
          <w:smallCaps w:val="false"/>
          <w:color w:val="000000"/>
          <w:spacing w:val="-3"/>
          <w:sz w:val="17"/>
        </w:rPr>
        <w:t>UNDER</w:t>
      </w:r>
      <w:r>
        <w:rPr>
          <w:rFonts w:ascii="Times New Roman;Times;serif" w:hAnsi="Times New Roman;Times;serif"/>
          <w:b/>
          <w:i/>
          <w:caps w:val="false"/>
          <w:smallCaps w:val="false"/>
          <w:color w:val="000000"/>
          <w:spacing w:val="3"/>
          <w:sz w:val="17"/>
        </w:rPr>
        <w:t xml:space="preserve"> </w:t>
      </w:r>
      <w:r>
        <w:rPr>
          <w:rFonts w:ascii="Times New Roman;Times;serif" w:hAnsi="Times New Roman;Times;serif"/>
          <w:b/>
          <w:i/>
          <w:caps w:val="false"/>
          <w:smallCaps w:val="false"/>
          <w:color w:val="000000"/>
          <w:sz w:val="17"/>
        </w:rPr>
        <w:br/>
      </w:r>
      <w:r>
        <w:rPr>
          <w:rFonts w:ascii="Times New Roman;Times;serif" w:hAnsi="Times New Roman;Times;serif"/>
          <w:b/>
          <w:i/>
          <w:caps w:val="false"/>
          <w:smallCaps w:val="false"/>
          <w:color w:val="000000"/>
          <w:spacing w:val="-3"/>
          <w:sz w:val="17"/>
        </w:rPr>
        <w:t>THE SECURITIES ACT OF 1933</w:t>
      </w:r>
      <w:r>
        <w:rPr>
          <w:rFonts w:ascii="Times New Roman;Times;serif" w:hAnsi="Times New Roman;Times;serif"/>
          <w:b/>
          <w:i/>
          <w:caps w:val="false"/>
          <w:smallCaps w:val="false"/>
          <w:color w:val="000000"/>
          <w:spacing w:val="3"/>
          <w:sz w:val="17"/>
        </w:rPr>
        <w:t xml:space="preserve"> </w:t>
      </w:r>
    </w:p>
    <w:p>
      <w:pPr>
        <w:pStyle w:val="TextBody"/>
        <w:bidi w:val="0"/>
        <w:spacing w:lineRule="atLeast" w:line="330" w:before="1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36Kr Holdings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60" w:before="16" w:after="283"/>
        <w:jc w:val="center"/>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(Exact name of Registrant as specified in its charter) </w:t>
      </w:r>
    </w:p>
    <w:p>
      <w:pPr>
        <w:pStyle w:val="TextBody"/>
        <w:bidi w:val="0"/>
        <w:spacing w:lineRule="atLeast" w:line="180" w:before="8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Not Applicable</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60" w:before="16" w:after="283"/>
        <w:jc w:val="center"/>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(Translation of Registrant’s name into English) </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7"/>
              </w:rPr>
            </w:pPr>
            <w:r>
              <w:rPr>
                <w:b/>
                <w:spacing w:val="-3"/>
                <w:sz w:val="17"/>
              </w:rPr>
              <w:t>Cayman Islands</w:t>
            </w:r>
            <w:r>
              <w:rPr>
                <w:b/>
                <w:sz w:val="17"/>
              </w:rPr>
              <w:t xml:space="preserve"> </w:t>
            </w:r>
          </w:p>
          <w:p>
            <w:pPr>
              <w:pStyle w:val="TableContents"/>
              <w:bidi w:val="0"/>
              <w:spacing w:lineRule="atLeast" w:line="170" w:before="34"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7"/>
              </w:rPr>
            </w:pPr>
            <w:r>
              <w:rPr>
                <w:b/>
                <w:spacing w:val="-3"/>
                <w:sz w:val="17"/>
              </w:rPr>
              <w:t>Not Applicable</w:t>
            </w:r>
            <w:r>
              <w:rPr>
                <w:b/>
                <w:sz w:val="17"/>
              </w:rPr>
              <w:t xml:space="preserve"> </w:t>
            </w:r>
          </w:p>
          <w:p>
            <w:pPr>
              <w:pStyle w:val="TableContents"/>
              <w:bidi w:val="0"/>
              <w:spacing w:lineRule="atLeast" w:line="170" w:before="34"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38" w:after="283"/>
        <w:ind w:left="54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Building B6, Universal Business Park,</w:t>
      </w:r>
      <w:r>
        <w:rPr>
          <w:rFonts w:ascii="Times New Roman;Times;serif" w:hAnsi="Times New Roman;Times;serif"/>
          <w:b/>
          <w:i w:val="false"/>
          <w:caps w:val="false"/>
          <w:smallCaps w:val="false"/>
          <w:color w:val="000000"/>
          <w:sz w:val="17"/>
        </w:rPr>
        <w:t xml:space="preserve"> </w:t>
        <w:br/>
      </w:r>
      <w:r>
        <w:rPr>
          <w:rFonts w:ascii="Times New Roman;Times;serif" w:hAnsi="Times New Roman;Times;serif"/>
          <w:b/>
          <w:i w:val="false"/>
          <w:caps w:val="false"/>
          <w:smallCaps w:val="false"/>
          <w:color w:val="000000"/>
          <w:spacing w:val="-3"/>
          <w:sz w:val="17"/>
        </w:rPr>
        <w:t xml:space="preserve">No. 10 Jiuxianqiao Road,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Chaoyang District, Beijing, People’s Republic of China, 100015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+86 10 8965-0708</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60" w:before="16" w:after="283"/>
        <w:jc w:val="center"/>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(Address and telephone number of Registrant’s principal executive offices) </w:t>
      </w:r>
    </w:p>
    <w:p>
      <w:pPr>
        <w:pStyle w:val="TextBody"/>
        <w:bidi w:val="0"/>
        <w:spacing w:lineRule="atLeast" w:line="180" w:before="8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Cogency Global Inc.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122 East 42nd Street, 18</w:t>
      </w:r>
      <w:r>
        <w:rPr>
          <w:rFonts w:ascii="Times New Roman;Times;serif" w:hAnsi="Times New Roman;Times;serif"/>
          <w:b/>
          <w:i w:val="false"/>
          <w:caps w:val="false"/>
          <w:smallCaps w:val="false"/>
          <w:color w:val="000000"/>
          <w:spacing w:val="-3"/>
          <w:sz w:val="13"/>
        </w:rPr>
        <w:t>th</w:t>
      </w:r>
      <w:r>
        <w:rPr>
          <w:rFonts w:ascii="Times New Roman;Times;serif" w:hAnsi="Times New Roman;Times;serif"/>
          <w:b/>
          <w:i w:val="false"/>
          <w:caps w:val="false"/>
          <w:smallCaps w:val="false"/>
          <w:color w:val="000000"/>
          <w:spacing w:val="-3"/>
          <w:sz w:val="17"/>
        </w:rPr>
        <w:t xml:space="preserve"> Floor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New York, New York 10168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(800) 221-0102</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60" w:before="16" w:after="283"/>
        <w:jc w:val="center"/>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(Name, address, and telephone number of agent for service) </w:t>
      </w:r>
    </w:p>
    <w:p>
      <w:pPr>
        <w:pStyle w:val="TextBody"/>
        <w:bidi w:val="0"/>
        <w:spacing w:lineRule="atLeast" w:line="180" w:before="80" w:after="283"/>
        <w:jc w:val="center"/>
        <w:rPr>
          <w:rFonts w:ascii="Times New Roman;Times;serif" w:hAnsi="Times New Roman;Times;serif"/>
          <w:b/>
          <w:i/>
          <w:caps w:val="false"/>
          <w:smallCaps w:val="false"/>
          <w:color w:val="000000"/>
          <w:sz w:val="17"/>
        </w:rPr>
      </w:pPr>
      <w:r>
        <w:rPr>
          <w:rFonts w:ascii="Times New Roman;Times;serif" w:hAnsi="Times New Roman;Times;serif"/>
          <w:b/>
          <w:i/>
          <w:caps w:val="false"/>
          <w:smallCaps w:val="false"/>
          <w:color w:val="000000"/>
          <w:spacing w:val="-3"/>
          <w:sz w:val="17"/>
        </w:rPr>
        <w:t>Copies to:</w:t>
      </w:r>
      <w:r>
        <w:rPr>
          <w:rFonts w:ascii="Times New Roman;Times;serif" w:hAnsi="Times New Roman;Times;serif"/>
          <w:b/>
          <w:i/>
          <w:caps w:val="false"/>
          <w:smallCaps w:val="false"/>
          <w:color w:val="000000"/>
          <w:spacing w:val="3"/>
          <w:sz w:val="17"/>
        </w:rPr>
        <w:t xml:space="preserve"> </w:t>
      </w:r>
    </w:p>
    <w:p>
      <w:pPr>
        <w:pStyle w:val="TextBody"/>
        <w:bidi w:val="0"/>
        <w:spacing w:lineRule="atLeast" w:line="180" w:before="8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Steve Lin, Esq.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Han Kun Law Offices LLP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Rooms 4301-10, 43/F., Gloucester Tower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The Landmark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15 Queen’s Road Central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Hong Kong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+852 2820 5600</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8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Approximate date of commencement of proposed sale to the public: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From time to time after the effective date of this registration statement.</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only securities being registered on this Form are being offered pursuant to dividend or interest reinvestment plans, please check the following box. ☐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any of the securities being registered on this Form are to be offered on a delayed or continuous basis pursuant to Rule 415 under the Securities Act of 1933, check the following box. ☒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lineRule="atLeast" w:line="180" w:before="80" w:after="283"/>
        <w:ind w:left="94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Indicate by check mark whether the registrant is an emerging growth company as defined in Rule 405 of the Securities Act of 1933. </w:t>
      </w:r>
    </w:p>
    <w:p>
      <w:pPr>
        <w:pStyle w:val="TextBody"/>
        <w:bidi w:val="0"/>
        <w:spacing w:lineRule="atLeast" w:line="180" w:before="80" w:after="283"/>
        <w:jc w:val="right"/>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Emerging growth company   ☐</w:t>
      </w:r>
      <w:r>
        <w:rPr>
          <w:rFonts w:ascii="Times New Roman;Times;serif" w:hAnsi="Times New Roman;Times;serif"/>
          <w:b w:val="false"/>
          <w:i w:val="false"/>
          <w:caps w:val="false"/>
          <w:smallCaps w:val="false"/>
          <w:color w:val="000000"/>
          <w:sz w:val="17"/>
        </w:rPr>
        <w:t>​</w:t>
      </w:r>
    </w:p>
    <w:p>
      <w:pPr>
        <w:pStyle w:val="TextBody"/>
        <w:bidi w:val="0"/>
        <w:spacing w:lineRule="atLeast" w:line="180" w:before="8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80" w:before="80" w:after="283"/>
        <w:ind w:left="54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3"/>
          <w:sz w:val="17"/>
        </w:rPr>
        <w:t xml:space="preserve"> </w:t>
      </w:r>
    </w:p>
    <w:p>
      <w:pPr>
        <w:pStyle w:val="TextBody"/>
        <w:bidi w:val="0"/>
        <w:spacing w:before="101"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6" w:before="124" w:after="0"/>
        <w:ind w:left="94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term “new or revised financial accounting standard” refers to any update issued by the Financial Accounting Standards Board to its Accounting Standards Codification after April 5, 2012. </w:t>
      </w:r>
      <w:r>
        <mc:AlternateContent>
          <mc:Choice Requires="wps">
            <w:drawing>
              <wp:anchor behindDoc="0" distT="7874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before="0" w:after="283"/>
                        <w:jc w:val="left"/>
                        <w:rPr/>
                      </w:pPr>
                      <w:r>
                        <w:rPr>
                          <w:spacing w:val="3"/>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111"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SEPTEMBER 22,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438275" cy="14382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438275" cy="1438275"/>
                    </a:xfrm>
                    <a:prstGeom prst="rect">
                      <a:avLst/>
                    </a:prstGeom>
                  </pic:spPr>
                </pic:pic>
              </a:graphicData>
            </a:graphic>
          </wp:inline>
        </w:drawing>
      </w:r>
      <w:r>
        <w:rPr>
          <w:caps w:val="false"/>
          <w:smallCaps w:val="false"/>
          <w:color w:val="000000"/>
        </w:rPr>
        <w:t xml:space="preserve"> </w:t>
      </w:r>
    </w:p>
    <w:p>
      <w:pPr>
        <w:pStyle w:val="TextBody"/>
        <w:bidi w:val="0"/>
        <w:spacing w:lineRule="atLeast" w:line="310" w:before="33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US$300,000,000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Class A Ordinary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Subscription Rights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in one or more offerings offer and sell our preferred shares, warrants, subscription rights and/or units, or Class A ordinary shares, including Class A ordinary shares represented by American depositary shares, or ADSs, with each ADS representing 500 Class A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any offered securities and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30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remains below US$75,000,000. The aggregate market value of our issued and outstanding ordinary shares held by non-affiliates, as of September 10, 2026, was approximately US$4.7 million, which was calculated based on 747,134,455 ordinary shares held by non- affiliates and the per ADS price of US$3.15, which was the closing price of our ADSs on September 10, 2026. During the 12 calendar months prior to and including the date of this prospectus, we have not offered or sold any securities pursuant to General Instruction I.B.5 of Form F-3.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ADSs are listed on the NASDAQ Capital Market under the symbol “KRKR.” On September 21, 2026, the last reported sale price of the ADSs on the NASDAQ Capital Market was US$3.07 per ADS.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36Kr Holdings Inc. is a Cayman Islands holding company. It conducts its operations in China through its PRC subsidiaries and the consolidated variable interest entity, or the VIE. However, we and our direct and indirect subsidiaries do not, and it is virtually impossible for them to, have any equity interests in the VIE in practice as current PRC laws and regulations restrict foreign investment in companies that engage in value-added telecommunication services. As a result, we depend on certain contractual arrangements with the VIE to operate a significant portion of our business. This structure allows us to be considered the primary beneficiary of the VIE for accounting purposes, which serves the purpose of consolidating the VIE’s operating results in our financial statements under the U.S. GAAP. This structure also provides contractual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exposure to foreign investment in such companies. Shareholders holding 99% equity interests of the VIE are also affiliated with our Company or affiliated with certain shareholders of the Company. Investors in the ADSs are purchasing equity securities of a Cayman Islands holding company rather than equity securities issued by our subsidiaries and the VIE. Investors who are non-PRC residents may never directly hold equity interests in the VIE under current PRC laws and regulations. As used in this prospectus, “we,” “us,” “our company,” “our,” or “36Kr” refers to 36Kr Holdings Inc. and its subsidiaries, and, in the context of describing our consolidated financial information, business operations and operating data, our consolidated VIE, “Tianjin Duoke” refers to Tianjin Duoke Investment Co., Ltd., “Beijing Dake” refers to Beijing Dake Information Technology Co., Ltd., and “Beijing Duoke” refers to Beijing Duoke Information Technology Co. Ltd. We refer to Tianjin Duoke and Beijing Dake as the PRC subsidiaries in the context of describing their activities. We refer to Beijing Duoke as the VIE in the context of describing its activities and contractual arrangements with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structure involves unique risks to investors in the ADSs. In 2023, 2024 and 2025, the amount of revenues generated by the VIE accounted for 100%, 100% and 100%, respectively, of our total net revenues. As of December 31, 2023, 2024 and 2025, total assets of the VIE, excluding amounts due from other companies in the Group, equaled to 90%, 92% and 77% of our consolidated total assets as of the same dates, respectively. As of the date of this prospectus, to the best knowledge of our Company, our directors and management, the VIE agreements have not been tested in a court of law in the PRC.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material penalties or be forced to relinquish our interests in those operations or otherwise significantly change our corporate structure. We and our investors face significant uncertainty about potential future actions by the PRC government that could affect the legality and enforceability of the contractual arrangements with the VIE and, consequently, significantly affect our ability to consolidate the financial results of the VIE and the financial performance of our company as a whole. The ADSs may decline in value or become worthless if we are unable to effectively enforce our contractual control rights over the assets and operations of the VIE that conduct a significant portion of our business in China.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face various legal and operational risks and uncertainties as a company based in and primarily operating in China. The PRC government has significant authority to exert influence on the ability of a China-based company, like us, to conduct its business, accept foreign investments or be listed on a U.S. stock exchange. For example, we face risks associated with regulatory approvals of offshore offerings, anti-monopoly regulatory actions, cybersecurity and data privacy, as well as the uncertainty on whether the U.S. Public Company Accounting Oversight Board, or PCAOB, will continue to be able to satisfactorily inspect or investigate completely registered public accounting firms headquartered in mainland China and Hong Kong. The PRC government may also influence our operations at any time by adopting new laws and regulations as the government deems appropriate to further regulatory, political and societal goals. The PRC government has historically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such securities to significantly decline or in extreme cases, become worthless.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Trading in our securities on U.S. markets, including the Nasdaq, may be prohibited under the Holding Foreign Companies Accountable Act (the “HFCAA”)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In June 2022, we were conclusively identified by the SEC under the HFCAA as having filed audit reports issued by a registered public accounting firm that cannot be inspected or investigated completely by the PCAOB in connection with the filing of our 2021 Form 20-F.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were not at risk of having our securities subject to a trading prohibition under the HFCAA unless a new determination is made by the PCAOB. However, whether the PCAOB will continue to conduct inspections and investigations completely to its satisfaction of PCAOB-registered public accounting firms headquartered in mainland China and Hong Kong is subject to uncertainty and depends on a number of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going forward.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is transferred among the Company, our PRC subsidiaries, and the VIE, in the following manners: (i) funds are transferred to Tianjin Duoke and Beijing Dake, from the Company as needed through our BVI and/or Hong Kong subsidiaries in the form of capital contributions; (ii) funds may be paid by Beijing Duoke, the VIE, to Beijing Dake, as service fees according to the contractual arrangements; and (iii) Beijing Dake lends to Beijing Duoke, the VIE, from time to time for business operation purpose. As of December 31, 2025, 36Kr Holdings Inc. had made cumulative capital contributions of US$42.1 million to subsidiaries of the parent company (the “Parent”), and were accounted for as long-term investments of 36Kr Holdings Inc, including US$6.1 million injected through intermediate holding company into 36Kr Global Holding, an associate of the group, and US$36.0 million to the PRC subsidiaries. As of December 31, 2023, 2024 and 2025, the loan balance owed under the VIE agreements was RMB10.3 million, RMB17.0 million and RMB15.6 million (US$2.2 million), respectively. In 2023, 2024 and 2025, the VIE transferred RMB91.6 million, nil and RMB71.8 million (US$6.9 million), respectively, to our PRC subsidiaries as payment or prepayment of service fees. Beijing Dake, our PRC subsidiary, provided the VIE with technical support, consulting services and other services related to the VIE’s business, including business management, daily operations, strategic planning, among others. As of December 31, 2023, 2024 and 2025, the outstanding balance of service fees owed by the VIE to our PRC subsidiaries amounted to RMB130.7 million, RMB180.1 million and RMB163.3 million (US$23.4 million), respectively. There were no other assets transferred between VIE and non-VIEs in 2023, 2024 and 2025. 36Kr Holdings Inc. has not previously declared or paid any cash dividend or dividend in kind, and has no plan to declare or pay any dividends in the near future on our shares or the ADSs representing our ordinary shares. As of the date of this prospectus, we do not have cash management policies and procedures in place that dictate how funds are transferred through our organization. Rather, the funds can be transferred in accordance with the applicable PRC laws and regulations without limitations, subject to satisfaction of applicable government registration and approval requirements. Loans by us to our PRC subsidiaries to finance their activities cannot exceed statutory limits and must be registered with the local counterpart of SAFE and capital contributions to our PRC subsidiaries are subject to the requirement of making necessary filings in the Foreign Investment Comprehensive Management Information System, and registration with other governmental authorities in China.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our cash in the business is in the PRC or a PRC entity, the funds may not be available to distribute dividends to our investors, or for other use outside of the PRC, due to interventions in or the imposition of restrictions and limitations on the ability of us, our subsidiaries, or the VIE by the PRC government to transfer cash. The PRC government imposes controls on the convertibility of Renminbi into foreign currencies and, in certain cases, the remittance of currency out of China. Our cash dividends, if any, will be paid in U.S. dollars. As a consequence, we might not be able to pay dividends in foreign currencies to our shareholders. If we are considered a PRC tax resident enterprise for tax purposes, any dividends we pay to our overseas shareholders may be regarded as China-sourced income and as a result may be subject to PRC withholding tax. In addition, relevant PRC laws and regulations permit the PRC companies to pay dividends only out of their retained earnings, if any, as determined in accordance with PRC accounting standards and regulations. The Company’s PRC subsidiaries may pay dividends only out of their accumulated after-tax profits upon satisfaction of relevant statutory conditions and procedures, if any, determined in accordance with Chinese accounting standards and regulations; each of the PRC subsidiaries, the VIE and its subsidiaries is required to set aside at least 10% of its after-tax profits each year, if any, to fund certain reserve funds until the total amount set aside reaches 50% of its registered capital. Additionally, the Company’s PRC subsidiaries and the VIE can only distribute dividends upon approval of the shareholders after they have met the PRC requirements for appropriation to the statutory reserves. Such laws and regulations would limit our ability to transfer cash between the Company, our WFOE, the VIE, or investors.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these securities involves risks. See the “Risk Factors” section contained in the applicable prospectus supplement and the documents we incorporate by reference in this prospectus to read about factors you should consider before investing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offer or sell any securities unless accompanied by a prospectus supplement.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securities or passed upon the accuracy or adequacy of the disclosures in this prospectus, including any prospectus supplement and documents incorporated by reference.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September 22,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2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025" w:type="dxa"/>
        <w:jc w:val="left"/>
        <w:tblInd w:w="1393" w:type="dxa"/>
        <w:tblLayout w:type="fixed"/>
        <w:tblCellMar>
          <w:top w:w="0" w:type="dxa"/>
          <w:left w:w="0" w:type="dxa"/>
          <w:bottom w:w="0" w:type="dxa"/>
          <w:right w:w="0" w:type="dxa"/>
        </w:tblCellMar>
      </w:tblPr>
      <w:tblGrid>
        <w:gridCol w:w="124"/>
        <w:gridCol w:w="679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iii</w:t>
              </w:r>
            </w:hyperlink>
            <w:hyperlink w:anchor="t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OUCO">
              <w:r>
                <w:rPr>
                  <w:rStyle w:val="InternetLink"/>
                  <w:spacing w:val="4"/>
                </w:rPr>
                <w:t>1</w:t>
              </w:r>
            </w:hyperlink>
            <w:hyperlink w:anchor="tO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COIN">
              <w:r>
                <w:rPr>
                  <w:rStyle w:val="InternetLink"/>
                  <w:spacing w:val="4"/>
                </w:rPr>
                <w:t xml:space="preserve">CORPORATE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OIN">
              <w:r>
                <w:rPr>
                  <w:rStyle w:val="InternetLink"/>
                  <w:spacing w:val="4"/>
                </w:rPr>
                <w:t>2</w:t>
              </w:r>
            </w:hyperlink>
            <w:hyperlink w:anchor="tCO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DOSC">
              <w:r>
                <w:rPr>
                  <w:rStyle w:val="InternetLink"/>
                  <w:spacing w:val="4"/>
                </w:rPr>
                <w:t xml:space="preserve">DESCRIPTION OF SHARE CAPITAL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SC">
              <w:r>
                <w:rPr>
                  <w:rStyle w:val="InternetLink"/>
                  <w:spacing w:val="4"/>
                </w:rPr>
                <w:t>5</w:t>
              </w:r>
            </w:hyperlink>
            <w:hyperlink w:anchor="tDOS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DOAD">
              <w:r>
                <w:rPr>
                  <w:rStyle w:val="InternetLink"/>
                  <w:spacing w:val="4"/>
                </w:rPr>
                <w:t xml:space="preserve">DESCRIPTION OF AMERICAN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AD">
              <w:r>
                <w:rPr>
                  <w:rStyle w:val="InternetLink"/>
                  <w:spacing w:val="4"/>
                </w:rPr>
                <w:t>14</w:t>
              </w:r>
            </w:hyperlink>
            <w:hyperlink w:anchor="tDOA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DOPS">
              <w:r>
                <w:rPr>
                  <w:rStyle w:val="InternetLink"/>
                  <w:spacing w:val="4"/>
                </w:rPr>
                <w:t xml:space="preserve">DESCRIPTION OF PREFERRED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PS">
              <w:r>
                <w:rPr>
                  <w:rStyle w:val="InternetLink"/>
                  <w:spacing w:val="4"/>
                </w:rPr>
                <w:t>21</w:t>
              </w:r>
            </w:hyperlink>
            <w:hyperlink w:anchor="tDO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W">
              <w:r>
                <w:rPr>
                  <w:rStyle w:val="InternetLink"/>
                  <w:spacing w:val="4"/>
                </w:rPr>
                <w:t>23</w:t>
              </w:r>
            </w:hyperlink>
            <w:hyperlink w:anchor="tD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SR">
              <w:r>
                <w:rPr>
                  <w:rStyle w:val="InternetLink"/>
                  <w:spacing w:val="4"/>
                </w:rPr>
                <w:t>24</w:t>
              </w:r>
            </w:hyperlink>
            <w:hyperlink w:anchor="tDOS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U">
              <w:r>
                <w:rPr>
                  <w:rStyle w:val="InternetLink"/>
                  <w:spacing w:val="4"/>
                </w:rPr>
                <w:t>26</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EOCL">
              <w:r>
                <w:rPr>
                  <w:rStyle w:val="InternetLink"/>
                  <w:spacing w:val="4"/>
                </w:rPr>
                <w:t xml:space="preserve">ENFORCEABILITY OF CIVIL LIABILITIES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OCL">
              <w:r>
                <w:rPr>
                  <w:rStyle w:val="InternetLink"/>
                  <w:spacing w:val="4"/>
                </w:rPr>
                <w:t>27</w:t>
              </w:r>
            </w:hyperlink>
            <w:hyperlink w:anchor="tEOC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TAX">
              <w:r>
                <w:rPr>
                  <w:rStyle w:val="InternetLink"/>
                  <w:spacing w:val="4"/>
                </w:rPr>
                <w:t>29</w:t>
              </w:r>
            </w:hyperlink>
            <w:hyperlink w:anchor="tTAX">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30</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33</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33</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792" w:type="dxa"/>
            <w:tcBorders/>
            <w:vAlign w:val="center"/>
          </w:tcPr>
          <w:p>
            <w:pPr>
              <w:pStyle w:val="TableContents"/>
              <w:bidi w:val="0"/>
              <w:spacing w:before="0" w:after="0"/>
              <w:jc w:val="left"/>
              <w:rPr/>
            </w:pPr>
            <w:hyperlink w:anchor="tWYCF">
              <w:r>
                <w:rPr>
                  <w:rStyle w:val="InternetLink"/>
                  <w:spacing w:val="4"/>
                </w:rPr>
                <w:t xml:space="preserve">WHERE YOU CAN FIND MORE INFORMATION ABOUT 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33</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792" w:type="dxa"/>
            <w:tcBorders/>
            <w:shd w:fill="CCEEFF" w:val="clear"/>
            <w:vAlign w:val="center"/>
          </w:tcPr>
          <w:p>
            <w:pPr>
              <w:pStyle w:val="TableContents"/>
              <w:bidi w:val="0"/>
              <w:spacing w:before="0" w:after="0"/>
              <w:jc w:val="left"/>
              <w:rPr/>
            </w:pPr>
            <w:hyperlink w:anchor="tIODB">
              <w:r>
                <w:rPr>
                  <w:rStyle w:val="InternetLink"/>
                  <w:spacing w:val="4"/>
                </w:rPr>
                <w:t xml:space="preserve">INCORPORATION OF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ODB">
              <w:r>
                <w:rPr>
                  <w:rStyle w:val="InternetLink"/>
                  <w:spacing w:val="4"/>
                </w:rPr>
                <w:t>34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shelf registration statement that we filed with the Securities and Exchange Commission, or the SEC. By using a shelf registration statement, we may, at any time and from time to time, offer and sell up to an aggregate of US$300,000,000 of the securities as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the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indicated or unless the context otherwise requires, references to: </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ADRs” refers to the American depositary receipts that evidence the ADSs;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ADSs” refers to the American depositary shares, each representing 500 of our Class A ordinary shares;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Beijing Dake” refers to Beijing Dake Information Technology Co., Ltd., incorporated in the PRC on June 25, 2019;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Beijing Duoke”, “variable interest entity” or “VIE” refers to Beijing Duoke Information Technology Co. Ltd., a company incorporated in the PRC in December 2016.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China” or “PRC” refer to the People’s Republic of China;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A ordinary shares” refers to our Class A ordinary shares, par value US$0.0001 per share;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B ordinary shares” refers to our Class B ordinary shares, par value US$0.0001 per share;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C ordinary shares” refers to our Class C ordinary shares, par value US$0.0001 per share;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New Economy” refers to businesses that realize rapid growth primarily through cutting-edge technology and innovative business models;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RMB” or “Renminbi” refer to the legal currency of People’s Republic of China;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Tianjin Duoke” refers to Tianjin Duoke Investment Co., Ltd., incorporated in the PRC on May 21, 2019;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“U.S. dollars,” “$” and “dollars” refer to the legal currency of the United States; and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36Kr”, “we”, “us”, “our company”, and “our” refer to 36Kr Holdings Inc., a Cayman Islands company, its subsidiaries and, in the context of describing its consolidated financial information, business operations and operating data, the VIE (or, where the context requires, its predecessors).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reporting currency is the Renminbi. This prospectus also contains translations of certain foreign currency amounts into U.S. dollars for the convenience of the reader. Unless otherwise stated, all translations of Renminbi into U.S. dollars were made at RMB6.9931 to US$1.00, the exchange rate set forth in the H.10 statistical release of the Federal Reserve Board on December 31, 2025. We make no representation that the Renminbi or U.S. dollars amounts referred to in this prospectus could have been or could be converted into U.S. dollars or Renminbi, as the case may be, at any particular rate or at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FOS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that involve risks and uncertainties. All statements other than statements of current or historical facts are forward-looking statements. These statements involve known and unknown risks, uncertainties and other factors, including those listed under “Risk Factors,” that may cause our actual results, performance or achievements to be materially different from those expressed or implied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not limited to, statements about: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goals and growth strategies;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business development, results of operations and financial condition;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relevant government policies and regulations relating to our business and industry;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business conditions in China;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assumptions underlying or related to any of the foregoing; and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 factors discussed under “Risk Factors” included in the applicable prospectus supplement or under similar headings in other documents which are incorporated by reference in this prospectus.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these statements in conjunction with the risk factors discussed under the heading “Risk Factors” included in the applicable prospectus supplement or under similar headings in other documents which are incorporated by reference in this prospectus. You should read this prospectus and the documents that we refer to in this prospectus thoroughly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We do not undertake any obligation to update or revise the forward- looking statements by these cautionary statements. You should read this prospectus and the documents that we refer to in this prospectus completely and with the understanding that our actual future results may be materially different from what we expect.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rely upon forward-looking statements as predictions of future events. We undertake no obligation to update or revise any forward-looking statements, whether as a result of new information, future events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industry in which we operate, projections or estimates about our business and financial prospects involve significant risks and uncertainties.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UC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prominent brand and a pioneering platform dedicated to serving New Economy participants in China.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started our business with high-quality New Economy-focused content offerings. Leveraging traffic brought by high-quality content, we have expanded our offerings to business services, including online advertising services, enterprise value-added services and subscription services. We are a well-recognized platform among New Economy participants in China. With our significant brand influence, we are well- positioned to continuously capture the high growth potentials of China’s New Economy.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High-quality New Economy-focused content is the foundation of our business. We provide insightful reports on companies, timely market updates and thought-provoking editorials and commentaries. We especially take pride in our ability to discover startup companies with great potentials and introduce them to the investment community. We were the first to report on a number of startup companies that later became industry leaders. For example, in January 2013, we were the first to report on ByteDance, which later became a world-leading technology company. Our content covers almost all industries and verticals in China’s New Economy. Meanwhile, we operate a comprehensive content distribution network, which makes us a leading New Economy-focused content platform in China.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offer business services, including online advertising services, enterprise value-added services and subscription services to our customers. We address the evolving needs of New Economy companies and upgrading needs of traditional companies by providing them with tailored advertising and marketing solutions as well as other enterprise value-added services. We also help institutional investors identify promising targets, source investment opportunities and connect them with startup companies directly. Additionally, we have cultivated a large number of subscribers who purchase our premium content and other online and offline benefits. Through our diverse service offerings, we have captured extensive monetization opportunities.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high-quality content and diverse business service offerings, we have fostered an affluent and sophisticated user base and as such, attracted a valuable customer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supported by comprehensive database and strong data analytics capabilities. With a massive corporate information database, we are able to gain valuable insights into the latest development of New Economy. Leveraging our deep understanding of user needs and customer demands, we are able to better disseminate our content and monetize our various service offerings.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IN"/>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Building B6, Universal Business Park, No. 10 Jiuxianqiao Road, Chaoyang District, Beijing, People’s Republic of China. Our registered office in the Cayman Islands is located at Maples Corporate Services Limited, PO Box 309, Ugland House, Grand Cayman, KY1-1104, Cayman Islands. Our agent for service of process in the United States is Cogency Global Inc., located at 122 East 42nd Street, 18th Floor, New York, N.Y. 10168,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 maintains an internet site that contains reports, proxy and information statements, and other information regarding issuers that file electronically with the SEC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can also find information on our website at </w:t>
      </w:r>
      <w:r>
        <w:rPr>
          <w:rFonts w:ascii="Times New Roman;Times;serif" w:hAnsi="Times New Roman;Times;serif"/>
          <w:b w:val="false"/>
          <w:i/>
          <w:caps w:val="false"/>
          <w:smallCaps w:val="false"/>
          <w:color w:val="000000"/>
          <w:spacing w:val="4"/>
          <w:sz w:val="20"/>
        </w:rPr>
        <w:t>www.36kr.com</w:t>
      </w:r>
      <w:r>
        <w:rPr>
          <w:rFonts w:ascii="Times New Roman;Times;serif" w:hAnsi="Times New Roman;Times;serif"/>
          <w:b w:val="false"/>
          <w:i w:val="false"/>
          <w:caps w:val="false"/>
          <w:smallCaps w:val="false"/>
          <w:color w:val="000000"/>
          <w:spacing w:val="4"/>
          <w:sz w:val="20"/>
        </w:rPr>
        <w:t xml:space="preserve">. The information contained on our website is not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we are exempt under the Exchange Act from, among other things, the rules prescribing the furnishing and content of proxy statements, and our executive officers, directors and principal shareholders remain exempt from the short-swing profit recovery provisions contained in Section 16(b) of the Exchange Act. However, effective March 18, 2026, our directors and executive officers are subject to the reporting requirements of Section 16(a) of the Exchange Act and are required to report their beneficial ownership of, and transactions in, our equity securities on Forms 3, 4 and 5, as applicable, subject to applicable exemptions. Our principal shareholders are not subject to such reporting requirements solely by virtue of their share ownership.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filed with the SEC on April 23, 2026, as amended by Amendment No. 1 thereto filed with the SEC on May 19, 2026, which is incorporated by reference in this prospectus, and which may be amended, supplemented or superseded from time to time by other reports we file with the SEC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the securities we offer as set forth in the applicable prospectus supplement(s).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SC"/>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Cayman Islands exempted company and our affairs are governed by our memorandum and articles of association, as amended and restated from time to time, and Companies Act of the Cayman Islands, which we refer to as the “Companies Act” below, and the common law of the Cayman Islands.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our authorized share capital was US$100,000,000 divided into 960,783,460,000 Class A ordinary shares of par value of US$0.0001 each; 960,827,000 Class B ordinary shares of par value of US$0.0001 each; 1,000,000,000 Class C ordinary shares of par value of US$0.0001 each; and 37,255,713,000 undesignated shares with a par value of US$0.0001 each, of such class or classes (however designated) as the board of directors may determine in accordance with the articles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Memorandum and Articles of Association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summaries of material provisions of our fourth amended and restated memorandum and articles of association adopted by a special resolution passed on September 8, 2025 and the Companies Act, insofar as they relate to the material terms of our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   </w:t>
      </w:r>
      <w:r>
        <w:rPr>
          <w:rFonts w:ascii="Times New Roman;Times;serif" w:hAnsi="Times New Roman;Times;serif"/>
          <w:b w:val="false"/>
          <w:i w:val="false"/>
          <w:caps w:val="false"/>
          <w:smallCaps w:val="false"/>
          <w:color w:val="000000"/>
          <w:spacing w:val="4"/>
          <w:sz w:val="20"/>
        </w:rPr>
        <w:t xml:space="preserve">Our ordinary shares are divided into Class A ordinary shares, Class B ordinary shares and Class C ordinary shares. Holders of our Class A ordinary shares, Class B ordinary shares and Class C ordinary shares will have the same rights except for voting and conversion rights. All of our issued and outstanding ordinary shares are fully paid and non-assessable. Our ordinary shares are issued in registered form and are issued when registered in our register of shareholders. We may not issue share to bearer. Our shareholders who are non-residents of the Cayman Islands may freely hold and transfer their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   </w:t>
      </w:r>
      <w:r>
        <w:rPr>
          <w:rFonts w:ascii="Times New Roman;Times;serif" w:hAnsi="Times New Roman;Times;serif"/>
          <w:b w:val="false"/>
          <w:i w:val="false"/>
          <w:caps w:val="false"/>
          <w:smallCaps w:val="false"/>
          <w:color w:val="000000"/>
          <w:spacing w:val="4"/>
          <w:sz w:val="20"/>
        </w:rPr>
        <w:t xml:space="preserve">Class B ordinary shares or Class C ordinary shares may be converted into the same number of Class A ordinary shares by the holders thereof at any time, while Class A ordinary shares cannot be converted into Class B ordinary shares or Class C ordinary shares under any circumstances. Furthermore, Class B ordinary shares are not convertible into Class C ordinary shares, and Class C ordinary shares are not convertible into Class B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sale, transfer, assignment or disposition of Class B ordinary shares by a holder thereof to any person or entity which is not an affiliate of such holder of Class B ordinary shares, or upon a change of beneficial ownership of any Class B ordinary shares as a result of which any person who is not an affiliate of the holder of such Class B ordinary shares becomes a beneficial owners of such Class B ordinary shares, such Class B ordinary shares shall be automatically and immediately converted into an equal number of Class A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sale, transfer, assignment or disposition of Class C ordinary shares by a holder thereof to any person or entity which is not an affiliate of such holder of Class C ordinary shares, or upon a change of beneficial ownership of any Class C ordinary shares as a result of which any person who is not an affiliate of the holder of such Class C ordinary shares becomes a beneficial owners of such Class C ordinary shares, such Class C ordinary shares shall be automatically and immediately converted into an equal number of Class A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   </w:t>
      </w:r>
      <w:r>
        <w:rPr>
          <w:rFonts w:ascii="Times New Roman;Times;serif" w:hAnsi="Times New Roman;Times;serif"/>
          <w:b w:val="false"/>
          <w:i w:val="false"/>
          <w:caps w:val="false"/>
          <w:smallCaps w:val="false"/>
          <w:color w:val="000000"/>
          <w:spacing w:val="4"/>
          <w:sz w:val="20"/>
        </w:rPr>
        <w:t xml:space="preserve">The holders of our ordinary shares are entitled to such dividends as may be declared by our board of directors, subject to our fourth amended and restated memorandum and articles of association and the Companies Act. In addition, our shareholders may by ordinary resolution declare a dividend, but no dividend may exceed the amount recommended by our directors. Our fourth amended and restated articles of association provide that dividends may be declared and paid out of our profits, realized or unrealized, or from any reserve set aside from profits which our board of directors determines is no longer needed. Dividends may also be declared and paid out of profits or share premium account. No dividend may be declared and paid unless our directors determine that, immediately after the payment, we will be able to pay our debts as they become due in the ordinary course of business and we have funds lawfully available for such purpose.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In respect of all matters subject to a shareholders’ vote, each Class A ordinary share is entitled to one vote for the holder of each Class A ordinary share registered in his or her name on our register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members, each Class B ordinary share is entitled to 25 votes for the holder of each Class B ordinary share registered in his or her name on our register of members, and each Class C ordinary share is entitled to 100 votes for the holder of each Class C ordinary share registered in his or her name on our register of members. A resolution put to the vote of the general meeting shall be decided on the vote of the requisite majority pursuant to a poll of the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required for a meeting of shareholders consists of shareholders holding shares which carry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fourth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of the Board of Directors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fourth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fourth amended and restated memorandum and articles of association. A special resolution will be required for important matters such as a change of name or making changes to our fourth amended and restated memorandum and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of Ordinary Shares.   </w:t>
      </w:r>
      <w:r>
        <w:rPr>
          <w:rFonts w:ascii="Times New Roman;Times;serif" w:hAnsi="Times New Roman;Times;serif"/>
          <w:b w:val="false"/>
          <w:i w:val="false"/>
          <w:caps w:val="false"/>
          <w:smallCaps w:val="false"/>
          <w:color w:val="000000"/>
          <w:spacing w:val="4"/>
          <w:sz w:val="20"/>
        </w:rPr>
        <w:t xml:space="preserve">Subject to the restrictions in our fourth amended and restated memorandum and articles of association as set out below, any of our shareholders may transfer all or any of his or her ordinary shares by an instrument of transfer in the usual or common form or any other form approved by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in its absolute discretion, decline to register any transfer of any ordinary share which is not fully paid up or on which we have a lien. Our Board of Directors may also decline to register any transfer of any ordinary share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lodged with us, accompanied by the certificate for the ordinary shares to which it relates and such other evidence as our Board of Directors may reasonably require to show the right of the transferor to make the transfer;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in respect of only one class of shares; </w:t>
      </w:r>
      <w:r>
        <mc:AlternateContent>
          <mc:Choice Requires="wps">
            <w:drawing>
              <wp:anchor behindDoc="0" distT="635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properly stamped, if required; </w:t>
      </w:r>
      <w:r>
        <mc:AlternateContent>
          <mc:Choice Requires="wps">
            <w:drawing>
              <wp:anchor behindDoc="0" distT="635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transfer to joint holders, the number of joint holders to whom the ordinary share is to be transferred does not exceed four; </w:t>
      </w:r>
      <w:r>
        <mc:AlternateContent>
          <mc:Choice Requires="wps">
            <w:drawing>
              <wp:anchor behindDoc="0" distT="635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are free from any lien in favor of the Company; and </w:t>
      </w:r>
      <w:r>
        <mc:AlternateContent>
          <mc:Choice Requires="wps">
            <w:drawing>
              <wp:anchor behindDoc="0" distT="635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of such maximum sum as the Nasdaq may determine to be payable or such lesser sum as our directors may from time to time require is paid to us in respect thereof. </w:t>
      </w:r>
      <w:r>
        <mc:AlternateContent>
          <mc:Choice Requires="wps">
            <w:drawing>
              <wp:anchor behindDoc="0" distT="635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directors refuse to register a transfer they shall, within two months after the date on which the instrument of transfer was lodged, send to each of the transferor and the transferee notice of such refusal.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registration of transfers shall not be suspended nor the register closed for more than 30 days in any year as our board may determine.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w:t>
      </w:r>
      <w:r>
        <w:rPr>
          <w:rFonts w:ascii="Times New Roman;Times;serif" w:hAnsi="Times New Roman;Times;serif"/>
          <w:b w:val="false"/>
          <w:i w:val="false"/>
          <w:caps w:val="false"/>
          <w:smallCaps w:val="false"/>
          <w:color w:val="000000"/>
          <w:spacing w:val="4"/>
          <w:sz w:val="20"/>
        </w:rPr>
        <w:t xml:space="preserve">On a return of capital on winding up or otherwise (other than on conversion, redemption 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Redemption, Repurchase and Surrender of Shares.   </w:t>
      </w:r>
      <w:r>
        <w:rPr>
          <w:rFonts w:ascii="Times New Roman;Times;serif" w:hAnsi="Times New Roman;Times;serif"/>
          <w:b w:val="false"/>
          <w:i w:val="false"/>
          <w:caps w:val="false"/>
          <w:smallCaps w:val="false"/>
          <w:color w:val="000000"/>
          <w:spacing w:val="4"/>
          <w:sz w:val="20"/>
        </w:rPr>
        <w:t xml:space="preserve">We may issue shares on terms that such 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fourth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Variations of Rights of Shares.   </w:t>
      </w:r>
      <w:r>
        <w:rPr>
          <w:rFonts w:ascii="Times New Roman;Times;serif" w:hAnsi="Times New Roman;Times;serif"/>
          <w:b w:val="false"/>
          <w:i w:val="false"/>
          <w:caps w:val="false"/>
          <w:smallCaps w:val="false"/>
          <w:color w:val="000000"/>
          <w:spacing w:val="4"/>
          <w:sz w:val="20"/>
        </w:rPr>
        <w:t xml:space="preserve">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Inspection of Books and Records.   </w:t>
      </w:r>
      <w:r>
        <w:rPr>
          <w:rFonts w:ascii="Times New Roman;Times;serif" w:hAnsi="Times New Roman;Times;serif"/>
          <w:b w:val="false"/>
          <w:i w:val="false"/>
          <w:caps w:val="false"/>
          <w:smallCaps w:val="false"/>
          <w:color w:val="000000"/>
          <w:spacing w:val="4"/>
          <w:sz w:val="20"/>
        </w:rPr>
        <w:t xml:space="preserve">Holders of our ordinary shares have no general right under Cayman Islands law to inspect or obtain copies of our list of shareholders or our corporate records (other than copies of our fourth amended and restated memorandum and articles of association and the register of mortgages and charges, and any special resolution passed by our shareholders). However, we will provide our shareholders with annual audited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Issuance of Additional Shares.   </w:t>
      </w:r>
      <w:r>
        <w:rPr>
          <w:rFonts w:ascii="Times New Roman;Times;serif" w:hAnsi="Times New Roman;Times;serif"/>
          <w:b w:val="false"/>
          <w:i w:val="false"/>
          <w:caps w:val="false"/>
          <w:smallCaps w:val="false"/>
          <w:color w:val="000000"/>
          <w:spacing w:val="4"/>
          <w:sz w:val="20"/>
        </w:rPr>
        <w:t xml:space="preserve">Our fourth amended and restated memorandum of association authorizes our Board of Directors to issue additional ordinary shares from time to time as our Board of Directors shall determine, to the extent of available authorized but unissued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directors may, in their absolute discretion and without the approval of the members, cause the Company to 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rights associated with the then issued and outstanding shares, at such times and on such other terms as they think proper.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fourth amended and restated memorandum of association also authorizes our Board of Directors to establish from time to time one or more series of preferred shares and to determine, with respect to any series of preferred shares, the terms and rights of that series,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series;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the series;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rights, dividend rates, conversion rights, voting rights; and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and terms of redemption and liquidation preferences.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issue preferred shares without action by our shareholders to the extent authorized but unissued. Issuance of these shares may dilute the voting power of holders of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Anti-Takeover Provisions.   </w:t>
      </w:r>
      <w:r>
        <w:rPr>
          <w:rFonts w:ascii="Times New Roman;Times;serif" w:hAnsi="Times New Roman;Times;serif"/>
          <w:b w:val="false"/>
          <w:i w:val="false"/>
          <w:caps w:val="false"/>
          <w:smallCaps w:val="false"/>
          <w:color w:val="000000"/>
          <w:spacing w:val="4"/>
          <w:sz w:val="20"/>
        </w:rPr>
        <w:t xml:space="preserve">Some provisions of our fourth amended and restated memorandum and articles of association may discourage, delay or prevent a change of control of our company or management that shareholders may consider favorable, including provisions that: (a) authorize our Board of Directors to issue preferred shares in one or more series and to designate the price, rights, preferences, privileges and restrictions of such preferred shares without any further vote or action by our shareholders; and (b) limit the ability of shareholders to requisition and convene general meetings of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under Cayman Islands law, our directors may only exercise the rights and powers granted to them under our fourth amended and restated memorandum and articles of association for a proper purpose and for what they believe in good faith to be in the best interests of our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Exempted Company.   </w:t>
      </w:r>
      <w:r>
        <w:rPr>
          <w:rFonts w:ascii="Times New Roman;Times;serif" w:hAnsi="Times New Roman;Times;serif"/>
          <w:b w:val="false"/>
          <w:i w:val="false"/>
          <w:caps w:val="false"/>
          <w:smallCaps w:val="false"/>
          <w:color w:val="000000"/>
          <w:spacing w:val="4"/>
          <w:sz w:val="20"/>
        </w:rPr>
        <w:t xml:space="preserve">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have to file an annual return of its shareholders with the Registrar of Companies;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required to open its register of members for inspection;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have to hold an annual general meeting;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issue shares with no par value;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obtain an undertaking against the imposition of any future taxation (such undertakings are usually given for 30 years in the first instance);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by way of continuation in another jurisdiction and be deregistered in the Cayman Islands;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as a limited duration company; and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as a segregated portfolio company.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Differences in Corporate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Mergers and Similar Arrangements.   </w:t>
      </w:r>
      <w:r>
        <w:rPr>
          <w:rFonts w:ascii="Times New Roman;Times;serif" w:hAnsi="Times New Roman;Times;serif"/>
          <w:b w:val="false"/>
          <w:i w:val="false"/>
          <w:caps w:val="false"/>
          <w:smallCaps w:val="false"/>
          <w:color w:val="000000"/>
          <w:spacing w:val="4"/>
          <w:sz w:val="20"/>
        </w:rPr>
        <w:t xml:space="preserve">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each holder of a fixed or floating security interest over a constituent company is required unless this requirement is waived by a court in the Cayman Islands.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 from the statutory provisions relating to mergers and consolidations, the Companies Act also contains statutory provisions that facilitate the reconstruction and amalgamation of companies by way of schemes of arrangement, provided that the arrangement is approved by, in the case of a scheme of arrangement with shareholders or class of shareholders, seventy-five per cent in value of the shareholders or class of shareholders, as the case may be, with whom the arrangement is to be made and in the case of a scheme of arrangement with creditors or class of creditors, a majority in number of the creditors or class of creditors, as the case may be, with whom the arrangement is to be made, and who must in addition represent seventy-five per cent in value of the creditors or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statutory provisions as to the required majority vote have been met;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have been fairly represented at the meeting in question and the statutory majority are acting bona fide without coercion of the minority to promote interests adverse to those of the class;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arrangement is such that may be reasonably approved by an intelligent and honest man of that class acting in respect of his interest; and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arrangement is not one that would more properly be sanctioned under some other provision of the Companies Act.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also contains a statutory power of compulsory acquisition which may facilitate the “squeeze out” of a dissentient minority shareholder upon a tender offer. When a tender offer is made and accepted by holders of 90% in value of the shares for which the offer has been made, the offeror may, within a two- 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Shareholders’ Suits.   </w:t>
      </w:r>
      <w:r>
        <w:rPr>
          <w:rFonts w:ascii="Times New Roman;Times;serif" w:hAnsi="Times New Roman;Times;serif"/>
          <w:b w:val="false"/>
          <w:i w:val="false"/>
          <w:caps w:val="false"/>
          <w:smallCaps w:val="false"/>
          <w:color w:val="000000"/>
          <w:spacing w:val="4"/>
          <w:sz w:val="20"/>
        </w:rPr>
        <w:t xml:space="preserve">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Times;serif" w:hAnsi="Times New Roman;Times;serif"/>
          <w:b w:val="false"/>
          <w:i/>
          <w:caps w:val="false"/>
          <w:smallCaps w:val="false"/>
          <w:color w:val="000000"/>
          <w:spacing w:val="4"/>
          <w:sz w:val="20"/>
        </w:rPr>
        <w:t>Foss v. Harbottle</w:t>
      </w:r>
      <w:r>
        <w:rPr>
          <w:rFonts w:ascii="Times New Roman;Times;serif" w:hAnsi="Times New Roman;Times;serif"/>
          <w:b w:val="false"/>
          <w:i w:val="false"/>
          <w:caps w:val="false"/>
          <w:smallCaps w:val="false"/>
          <w:color w:val="000000"/>
          <w:spacing w:val="4"/>
          <w:sz w:val="20"/>
        </w:rPr>
        <w:t xml:space="preserve"> and the exceptions thereto) so that a non-controlling shareholder may be permitted to commence a class action against or derivative actions in the name of the company to challenge actions where: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acts or proposes to act illegally or ultra vires;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 complained of, although not ultra vires, could only be effected duly if authorized by more than a simple majority vote that has not been obtained; and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those who control the company are perpetrating a “fraud on the minority.”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Indemnification of Directors and Executive Officers and Limitation of Liability.   </w:t>
      </w:r>
      <w:r>
        <w:rPr>
          <w:rFonts w:ascii="Times New Roman;Times;serif" w:hAnsi="Times New Roman;Times;serif"/>
          <w:b w:val="false"/>
          <w:i w:val="false"/>
          <w:caps w:val="false"/>
          <w:smallCaps w:val="false"/>
          <w:color w:val="000000"/>
          <w:spacing w:val="4"/>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currently effective memorandum and articles of association provide that we shall indemnify our directors and officers, and their personal representatives, against all actions, proceedings, costs, charges, expenses, losses, damages or liabilities incurred or sustained by such persons,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entered into indemnification agreements with our directors and executive officers that provide such persons with additional indemnification beyond that provided in our currently effective memorandum and articles of association.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Directors’ Fiduciary Duties.   </w:t>
      </w:r>
      <w:r>
        <w:rPr>
          <w:rFonts w:ascii="Times New Roman;Times;serif" w:hAnsi="Times New Roman;Times;serif"/>
          <w:b w:val="false"/>
          <w:i w:val="false"/>
          <w:caps w:val="false"/>
          <w:smallCaps w:val="false"/>
          <w:color w:val="000000"/>
          <w:spacing w:val="4"/>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Action by Written Consent.   </w:t>
      </w:r>
      <w:r>
        <w:rPr>
          <w:rFonts w:ascii="Times New Roman;Times;serif" w:hAnsi="Times New Roman;Times;serif"/>
          <w:b w:val="false"/>
          <w:i w:val="false"/>
          <w:caps w:val="false"/>
          <w:smallCaps w:val="false"/>
          <w:color w:val="000000"/>
          <w:spacing w:val="4"/>
          <w:sz w:val="20"/>
        </w:rPr>
        <w:t xml:space="preserve">Under the Delaware General Corporation Law, a corporation may eliminate the right of shareholders to act by written consent by amendment to its certificate of incorporation. Cayman Islands law and our currently effective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Proposals.   </w:t>
      </w:r>
      <w:r>
        <w:rPr>
          <w:rFonts w:ascii="Times New Roman;Times;serif" w:hAnsi="Times New Roman;Times;serif"/>
          <w:b w:val="false"/>
          <w:i w:val="false"/>
          <w:caps w:val="false"/>
          <w:smallCaps w:val="false"/>
          <w:color w:val="000000"/>
          <w:spacing w:val="4"/>
          <w:sz w:val="20"/>
        </w:rPr>
        <w:t xml:space="preserve">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provides shareholders with only limited rights to requisition a general meeting where the articles of association of a company does not contain any regulations as to summoning of general meetings, and does not provide shareholders with any right to put any proposal before a general meeting. However, these rights may be provided in a company’s articles of association. Our currently effective memorandum and articles of association allow our shareholders holding shares which carry in aggregate not less than one-third of the total issued and paid up share capital of our Company carrying the right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currently effective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Cumulative Voting.   </w:t>
      </w:r>
      <w:r>
        <w:rPr>
          <w:rFonts w:ascii="Times New Roman;Times;serif" w:hAnsi="Times New Roman;Times;serif"/>
          <w:b w:val="false"/>
          <w:i w:val="false"/>
          <w:caps w:val="false"/>
          <w:smallCaps w:val="false"/>
          <w:color w:val="000000"/>
          <w:spacing w:val="4"/>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currently effective memorandum and articles of association do not provide for cumulative voting. As a result, our shareholders are not afforded any less protections or rights on this issue than shareholders of a Delaware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Removal of Directors</w:t>
      </w:r>
      <w:r>
        <w:rPr>
          <w:rFonts w:ascii="Times New Roman;Times;serif" w:hAnsi="Times New Roman;Times;serif"/>
          <w:b w:val="false"/>
          <w:i w:val="false"/>
          <w:caps w:val="false"/>
          <w:smallCaps w:val="false"/>
          <w:color w:val="000000"/>
          <w:spacing w:val="4"/>
          <w:sz w:val="20"/>
        </w:rPr>
        <w:t xml:space="preserve">.   Under the Delaware General Corporation Law, a director of a corporation with a classified board may be removed only for cause with the approval of a majority of the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entitled to vote, unless the certificate of incorporation provides otherwise. Under our currently effective memorandum and articles of association, subject to certain restrictions as contained therein,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currently effective memorandum and articles of association.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Transactions with Interested Shareholders.   </w:t>
      </w:r>
      <w:r>
        <w:rPr>
          <w:rFonts w:ascii="Times New Roman;Times;serif" w:hAnsi="Times New Roman;Times;serif"/>
          <w:b w:val="false"/>
          <w:i w:val="false"/>
          <w:caps w:val="false"/>
          <w:smallCaps w:val="false"/>
          <w:color w:val="000000"/>
          <w:spacing w:val="4"/>
          <w:sz w:val="20"/>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Dissolution; Winding up</w:t>
      </w:r>
      <w:r>
        <w:rPr>
          <w:rFonts w:ascii="Times New Roman;Times;serif" w:hAnsi="Times New Roman;Times;serif"/>
          <w:b/>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Variation of Rights of Shares.   </w:t>
      </w:r>
      <w:r>
        <w:rPr>
          <w:rFonts w:ascii="Times New Roman;Times;serif" w:hAnsi="Times New Roman;Times;serif"/>
          <w:b w:val="false"/>
          <w:i w:val="false"/>
          <w:caps w:val="false"/>
          <w:smallCaps w:val="false"/>
          <w:color w:val="000000"/>
          <w:spacing w:val="4"/>
          <w:sz w:val="20"/>
        </w:rPr>
        <w:t xml:space="preserve">Under the Delaware General Corporation Law, a corporation may vary the rights of a class of shares with the approval of a majority of the outstanding shares of such class, unless the certificate of incorporation provides otherwise. Under our currently effective memorandum and articles of association, if our share capital is divided into more than one class of shares, the rights attached to any such class may only be varied with the consent in writing of two-thirds of the holders of the issued shares of that class or with the sanction of a resolution passed by a majority of two-thirds of the votes cast at a separate meeting of the holders of the shares of that class.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Governing Documents.   </w:t>
      </w:r>
      <w:r>
        <w:rPr>
          <w:rFonts w:ascii="Times New Roman;Times;serif" w:hAnsi="Times New Roman;Times;serif"/>
          <w:b w:val="false"/>
          <w:i w:val="false"/>
          <w:caps w:val="false"/>
          <w:smallCaps w:val="false"/>
          <w:color w:val="000000"/>
          <w:spacing w:val="4"/>
          <w:sz w:val="20"/>
        </w:rPr>
        <w:t xml:space="preserve">Under the Delaware General Corporation Law, a corporation’s governing documents may be amended with the approval of a majority of the outstanding shares entitled to vote, unless the certificate of incorporation provides otherwise. Under Cayman Islands law, our currently effective memorandum and articles of association may only be amended with a special resolution of our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Rights of Non-resident or Foreign Shareholders.   </w:t>
      </w:r>
      <w:r>
        <w:rPr>
          <w:rFonts w:ascii="Times New Roman;Times;serif" w:hAnsi="Times New Roman;Times;serif"/>
          <w:b w:val="false"/>
          <w:i w:val="false"/>
          <w:caps w:val="false"/>
          <w:smallCaps w:val="false"/>
          <w:color w:val="000000"/>
          <w:spacing w:val="4"/>
          <w:sz w:val="20"/>
        </w:rPr>
        <w:t xml:space="preserve">There are no limitations imposed by our currently effective memorandum and articles of association on the rights of non-resident or foreign shareholders to hold or exercise voting rights on our shares. In addition, there are no provisions in our currently effective memorandum and articles of association governing the ownership threshold above which shareholder ownership must be disclosed.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History of Securities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our securities issuances in the past three years.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2019, we completed an initial public offering in which we offered and sold an aggregate of 34,500,000 Class A ordinary shares in the form of ADSs. On November 8, 2019, the ADSs began trading on the Nasdaq Global Market, under the symbol “KRKR”.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 2024, the ADSs began trading on the Nasdaq Capital Market, under the symbol “KRKR”.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 2024, the Company effected a change in the ratio of our ADSs to Class A ordinary shares from one ADS representing twenty-five Class A ordinary shares to a new ratio of one ADS representing five hundred Class A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15, 2025, our board of directors approved and authorized the issuance of up to 54,958,400 newly created Class C ordinary shares. The Class C ordinary shares have the same rights as the Company’s existing Class B ordinary shares except for voting rights, and holders of Class C ordinary shares shall be entitled to 100 votes per share on all matters submitted to shareholder vote. On August 18, 2025, the Company repurchased all 54,958,400 Class B ordinary shares held by Palopo Holding Limited, which is beneficially owned by Mr. Dagang Feng, our chief executive officer and the chairman of the Board, at a price of US$0.0001 per share, and immediately issued 54,958,400 newly created Class C ordinary shares to the same holder at the same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8, 2025, we convened an extraordinary general meeting, at which our shareholders approved the increase and re-designation of the Company’s authorized share capital and the adoption of the fourth amended and restated memorandum and articles of association of the Company to, among other things, reflect the creation of the Class C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Repurchase Program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6, 2020, our board of directors authorized a share repurchase program under which the Company may repurchase up to a total of 1,000,000 of its ADSs, each representing 25 Class A Ordinary Shares, after the release of the Company’s operating and financial results for the first quarter of 2020 on Form 6-K (the “Share Repurchase Program”).The Company’s share repurchases may be made from time to time on the open market at prevailing market prices, in open-market transactions and/or through other legally permissible means, depending on market conditions and in accordance with the applicable rules and regulations. The timing and conditions of the share repurchases will be subject to various factors including the requirements under Rule 10b-18 and Rule 10b5-1 of the Exchange Act. Our board of directors will review the Share Repurchase Program periodically and may authorize adjustments to its terms and size or suspend or discontinue the program. The Company expects to utilize its existing funds to fund repurchases made under this program.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repurchases made in accordance with the Share Repurchase Program from April 1, 2026 to September 10,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2019, we adopted a share incentive plan, which we refer to as the 2019 Share Incentive Plan. As of the date of this prospectus, the maximum aggregate number of ordinary shares which may be issued pursuant to all awards under the 2019 Share Incentive Plan is 296,556,000. As of the date of this prospectus, awards to purchase 72,652,646 ordinary shares under the 2019 Share Incentive Plan have been granted and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A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AMERICAN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American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is the depositary for our American Depositary Shares, also referred to as ADSs. Each ADS represents five hundred Class A ordinary shares (or a right to receive five hundred Class A ordinary shares) deposited with The Hong 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of uncertificated ADSs will receive statements from the depositary confirming their holdings.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ADS holder, we will not treat you as one of our shareholders and you will not have shareholder rights. The laws of the Cayman Islands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provisions of the deposit agreement. For more complete information, you should read the entire deposit agreement and the form of ADR. For directions on how to obtain copies of those documents, see “Where You Can Find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will you receive dividends and other distributions on the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Times New Roman;Times;serif" w:hAnsi="Times New Roman;Times;serif"/>
          <w:b w:val="false"/>
          <w:i/>
          <w:caps w:val="false"/>
          <w:smallCaps w:val="false"/>
          <w:color w:val="000000"/>
          <w:spacing w:val="4"/>
          <w:sz w:val="20"/>
        </w:rPr>
        <w:t>If the exchange rates fluctuate during a time when the depositary cannot convert the foreign currency, you may lose some of the value of the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Shares</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The depositary may distribute additional ADSs representing any shares we distribute as a dividend or free distribution. The depositary will only distribute whole ADSs. It will sell shares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Rights to purchase additional shares</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Times New Roman;Times;serif" w:hAnsi="Times New Roman;Times;serif"/>
          <w:b w:val="false"/>
          <w:i/>
          <w:caps w:val="false"/>
          <w:smallCaps w:val="false"/>
          <w:color w:val="000000"/>
          <w:spacing w:val="4"/>
          <w:sz w:val="20"/>
        </w:rPr>
        <w:t>In that case, you will receive no value for them.</w:t>
      </w:r>
      <w:r>
        <w:rPr>
          <w:rFonts w:ascii="Times New Roman;Times;serif" w:hAnsi="Times New Roman;Times;serif"/>
          <w:b w:val="false"/>
          <w:i w:val="false"/>
          <w:caps w:val="false"/>
          <w:smallCaps w:val="false"/>
          <w:color w:val="000000"/>
          <w:spacing w:val="4"/>
          <w:sz w:val="20"/>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Distributions</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Times;serif" w:hAnsi="Times New Roman;Times;serif"/>
          <w:b w:val="false"/>
          <w:i/>
          <w:caps w:val="false"/>
          <w:smallCaps w:val="false"/>
          <w:color w:val="000000"/>
          <w:spacing w:val="4"/>
          <w:sz w:val="20"/>
        </w:rPr>
        <w:t>This means that you may not receive the distributions we make on our shares or any value for them if it is illegal or impractical for us to make them available to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Deposit, Withdrawal and Cancelation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are ADSs issued?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can ADS holders withdraw the deposited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ADS holders interchange between certificated ADSs and uncertificated 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you vote?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by instructing the depositary as described above, you won’t be able to exercise voting rights unless you surrender your ADSs and withdraw the shares and become the registered holder of such shares prior to the record date for the general meeting. However, you may not know about the meeting enough in advance to withdraw the shares. In any event, the depositary will not exercise any discretion in voting deposited securities and it will only vote or attempt to vote as instructed.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356"/>
        <w:gridCol w:w="109"/>
        <w:gridCol w:w="109"/>
        <w:gridCol w:w="4083"/>
        <w:gridCol w:w="155"/>
      </w:tblGrid>
      <w:tr>
        <w:trPr/>
        <w:tc>
          <w:tcPr>
            <w:tcW w:w="4356" w:type="dxa"/>
            <w:tcBorders>
              <w:bottom w:val="single" w:sz="2" w:space="0" w:color="000000"/>
            </w:tcBorders>
            <w:vAlign w:val="center"/>
          </w:tcPr>
          <w:p>
            <w:pPr>
              <w:pStyle w:val="TableContents"/>
              <w:bidi w:val="0"/>
              <w:spacing w:before="0" w:after="283"/>
              <w:jc w:val="left"/>
              <w:rPr/>
            </w:pPr>
            <w:r>
              <w:rPr>
                <w:spacing w:val="-3"/>
              </w:rPr>
              <w:t>Persons depositing or withdrawing shares or</w:t>
            </w:r>
            <w:r>
              <w:rPr/>
              <w:t xml:space="preserve"> </w:t>
              <w:br/>
            </w:r>
            <w:r>
              <w:rPr>
                <w:spacing w:val="-3"/>
              </w:rPr>
              <w:t xml:space="preserve">ADS holders must pay: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083" w:type="dxa"/>
            <w:tcBorders>
              <w:bottom w:val="single" w:sz="2" w:space="0" w:color="000000"/>
            </w:tcBorders>
            <w:vAlign w:val="center"/>
          </w:tcPr>
          <w:p>
            <w:pPr>
              <w:pStyle w:val="TableContents"/>
              <w:bidi w:val="0"/>
              <w:spacing w:before="0" w:after="0"/>
              <w:jc w:val="center"/>
              <w:rPr>
                <w:spacing w:val="-3"/>
              </w:rPr>
            </w:pPr>
            <w:r>
              <w:rPr>
                <w:spacing w:val="-3"/>
              </w:rPr>
              <w:t xml:space="preserve">For: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56" w:type="dxa"/>
            <w:tcBorders/>
            <w:tcMar>
              <w:bottom w:w="0" w:type="dxa"/>
            </w:tcMar>
            <w:vAlign w:val="center"/>
          </w:tcPr>
          <w:p>
            <w:pPr>
              <w:pStyle w:val="TableContents"/>
              <w:bidi w:val="0"/>
              <w:spacing w:before="0" w:after="283"/>
              <w:jc w:val="left"/>
              <w:rPr>
                <w:spacing w:val="4"/>
              </w:rPr>
            </w:pPr>
            <w:r>
              <w:rPr>
                <w:spacing w:val="4"/>
              </w:rPr>
              <w:t xml:space="preserve">US$5.00 (or less) per 100 ADSs (or portion of 100 ADSs)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83" w:type="dxa"/>
            <w:tcBorders/>
            <w:tcMar>
              <w:bottom w:w="0" w:type="dxa"/>
            </w:tcMar>
            <w:vAlign w:val="center"/>
          </w:tcPr>
          <w:p>
            <w:pPr>
              <w:pStyle w:val="TableContents"/>
              <w:bidi w:val="0"/>
              <w:spacing w:before="0" w:after="283"/>
              <w:jc w:val="left"/>
              <w:rPr>
                <w:spacing w:val="4"/>
              </w:rPr>
            </w:pPr>
            <w:r>
              <w:rPr>
                <w:spacing w:val="4"/>
              </w:rPr>
              <w:t xml:space="preserve">Issuance of ADSs, including issuances resulting from a distribution of shares or rights or other property </w:t>
            </w:r>
          </w:p>
        </w:tc>
        <w:tc>
          <w:tcPr>
            <w:tcW w:w="155" w:type="dxa"/>
            <w:tcBorders/>
            <w:tcMar>
              <w:bottom w:w="0" w:type="dxa"/>
            </w:tcMar>
            <w:vAlign w:val="center"/>
          </w:tcPr>
          <w:p>
            <w:pPr>
              <w:pStyle w:val="TableContents"/>
              <w:bidi w:val="0"/>
              <w:spacing w:before="0" w:after="283"/>
              <w:jc w:val="left"/>
              <w:rPr/>
            </w:pPr>
            <w:r>
              <w:rPr/>
              <w:t>​</w:t>
            </w:r>
          </w:p>
        </w:tc>
      </w:tr>
      <w:tr>
        <w:trPr/>
        <w:tc>
          <w:tcPr>
            <w:tcW w:w="43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83" w:type="dxa"/>
            <w:tcBorders/>
            <w:tcMar>
              <w:bottom w:w="0" w:type="dxa"/>
            </w:tcMar>
            <w:vAlign w:val="center"/>
          </w:tcPr>
          <w:p>
            <w:pPr>
              <w:pStyle w:val="TableContents"/>
              <w:bidi w:val="0"/>
              <w:spacing w:before="0" w:after="283"/>
              <w:jc w:val="left"/>
              <w:rPr>
                <w:spacing w:val="4"/>
              </w:rPr>
            </w:pPr>
            <w:r>
              <w:rPr>
                <w:spacing w:val="4"/>
              </w:rPr>
              <w:t xml:space="preserve">Cancelation of ADSs for the purpose of withdrawal, including if the deposit agreement terminates </w:t>
            </w:r>
          </w:p>
        </w:tc>
        <w:tc>
          <w:tcPr>
            <w:tcW w:w="155" w:type="dxa"/>
            <w:tcBorders/>
            <w:tcMar>
              <w:bottom w:w="0" w:type="dxa"/>
            </w:tcMar>
            <w:vAlign w:val="center"/>
          </w:tcPr>
          <w:p>
            <w:pPr>
              <w:pStyle w:val="TableContents"/>
              <w:bidi w:val="0"/>
              <w:spacing w:before="0" w:after="283"/>
              <w:jc w:val="left"/>
              <w:rPr/>
            </w:pPr>
            <w:r>
              <w:rPr/>
              <w:t>​</w:t>
            </w:r>
          </w:p>
        </w:tc>
      </w:tr>
      <w:tr>
        <w:trPr/>
        <w:tc>
          <w:tcPr>
            <w:tcW w:w="4356" w:type="dxa"/>
            <w:tcBorders/>
            <w:tcMar>
              <w:bottom w:w="0" w:type="dxa"/>
            </w:tcMar>
            <w:vAlign w:val="center"/>
          </w:tcPr>
          <w:p>
            <w:pPr>
              <w:pStyle w:val="TableContents"/>
              <w:bidi w:val="0"/>
              <w:spacing w:before="0" w:after="283"/>
              <w:jc w:val="left"/>
              <w:rPr>
                <w:spacing w:val="4"/>
              </w:rPr>
            </w:pPr>
            <w:r>
              <w:rPr>
                <w:spacing w:val="4"/>
              </w:rPr>
              <w:t xml:space="preserve">US$.05 (or less) per ADS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83" w:type="dxa"/>
            <w:tcBorders/>
            <w:tcMar>
              <w:bottom w:w="0" w:type="dxa"/>
            </w:tcMar>
            <w:vAlign w:val="center"/>
          </w:tcPr>
          <w:p>
            <w:pPr>
              <w:pStyle w:val="TableContents"/>
              <w:bidi w:val="0"/>
              <w:spacing w:before="0" w:after="283"/>
              <w:jc w:val="left"/>
              <w:rPr>
                <w:spacing w:val="4"/>
              </w:rPr>
            </w:pPr>
            <w:r>
              <w:rPr>
                <w:spacing w:val="4"/>
              </w:rPr>
              <w:t xml:space="preserve">Any cash distribution to ADS holders </w:t>
            </w:r>
          </w:p>
        </w:tc>
        <w:tc>
          <w:tcPr>
            <w:tcW w:w="155" w:type="dxa"/>
            <w:tcBorders/>
            <w:tcMar>
              <w:bottom w:w="0" w:type="dxa"/>
            </w:tcMar>
            <w:vAlign w:val="center"/>
          </w:tcPr>
          <w:p>
            <w:pPr>
              <w:pStyle w:val="TableContents"/>
              <w:bidi w:val="0"/>
              <w:spacing w:before="0" w:after="283"/>
              <w:jc w:val="left"/>
              <w:rPr/>
            </w:pPr>
            <w:r>
              <w:rPr/>
              <w:t>​</w:t>
            </w:r>
          </w:p>
        </w:tc>
      </w:tr>
      <w:tr>
        <w:trPr/>
        <w:tc>
          <w:tcPr>
            <w:tcW w:w="4356" w:type="dxa"/>
            <w:tcBorders/>
            <w:tcMar>
              <w:bottom w:w="0" w:type="dxa"/>
            </w:tcMar>
            <w:vAlign w:val="center"/>
          </w:tcPr>
          <w:p>
            <w:pPr>
              <w:pStyle w:val="TableContents"/>
              <w:bidi w:val="0"/>
              <w:spacing w:before="0" w:after="283"/>
              <w:jc w:val="left"/>
              <w:rPr>
                <w:spacing w:val="4"/>
              </w:rPr>
            </w:pPr>
            <w:r>
              <w:rPr>
                <w:spacing w:val="4"/>
              </w:rPr>
              <w:t xml:space="preserve">A fee equivalent to the fee that would be payable if securities distributed to you had been shares and the shares had been deposited for issuance of ADSs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83" w:type="dxa"/>
            <w:tcBorders/>
            <w:tcMar>
              <w:bottom w:w="0" w:type="dxa"/>
            </w:tcMar>
            <w:vAlign w:val="center"/>
          </w:tcPr>
          <w:p>
            <w:pPr>
              <w:pStyle w:val="TableContents"/>
              <w:bidi w:val="0"/>
              <w:spacing w:before="0" w:after="283"/>
              <w:jc w:val="left"/>
              <w:rPr>
                <w:spacing w:val="4"/>
              </w:rPr>
            </w:pPr>
            <w:r>
              <w:rPr>
                <w:spacing w:val="4"/>
              </w:rPr>
              <w:t xml:space="preserve">Distribution of securities distributed to holders of deposited securities (including rights) that are distributed by the depositary to ADS holders </w:t>
            </w:r>
          </w:p>
        </w:tc>
        <w:tc>
          <w:tcPr>
            <w:tcW w:w="155" w:type="dxa"/>
            <w:tcBorders/>
            <w:tcMar>
              <w:bottom w:w="0" w:type="dxa"/>
            </w:tcMar>
            <w:vAlign w:val="center"/>
          </w:tcPr>
          <w:p>
            <w:pPr>
              <w:pStyle w:val="TableContents"/>
              <w:bidi w:val="0"/>
              <w:spacing w:before="0" w:after="283"/>
              <w:jc w:val="left"/>
              <w:rPr/>
            </w:pPr>
            <w:r>
              <w:rPr/>
              <w:t>​</w:t>
            </w:r>
          </w:p>
        </w:tc>
      </w:tr>
      <w:tr>
        <w:trPr/>
        <w:tc>
          <w:tcPr>
            <w:tcW w:w="4356" w:type="dxa"/>
            <w:tcBorders/>
            <w:tcMar>
              <w:bottom w:w="0" w:type="dxa"/>
            </w:tcMar>
            <w:vAlign w:val="center"/>
          </w:tcPr>
          <w:p>
            <w:pPr>
              <w:pStyle w:val="TableContents"/>
              <w:bidi w:val="0"/>
              <w:spacing w:before="0" w:after="283"/>
              <w:jc w:val="left"/>
              <w:rPr>
                <w:spacing w:val="4"/>
              </w:rPr>
            </w:pPr>
            <w:r>
              <w:rPr>
                <w:spacing w:val="4"/>
              </w:rPr>
              <w:t xml:space="preserve">US$.05 (or less) per ADS per calendar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83" w:type="dxa"/>
            <w:tcBorders/>
            <w:tcMar>
              <w:bottom w:w="0" w:type="dxa"/>
            </w:tcMar>
            <w:vAlign w:val="center"/>
          </w:tcPr>
          <w:p>
            <w:pPr>
              <w:pStyle w:val="TableContents"/>
              <w:bidi w:val="0"/>
              <w:spacing w:before="0" w:after="283"/>
              <w:jc w:val="left"/>
              <w:rPr>
                <w:spacing w:val="4"/>
              </w:rPr>
            </w:pPr>
            <w:r>
              <w:rPr>
                <w:spacing w:val="4"/>
              </w:rPr>
              <w:t xml:space="preserve">Depositary services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4543"/>
        <w:gridCol w:w="109"/>
        <w:gridCol w:w="109"/>
        <w:gridCol w:w="3896"/>
        <w:gridCol w:w="155"/>
      </w:tblGrid>
      <w:tr>
        <w:trPr/>
        <w:tc>
          <w:tcPr>
            <w:tcW w:w="4543" w:type="dxa"/>
            <w:tcBorders>
              <w:bottom w:val="single" w:sz="2" w:space="0" w:color="000000"/>
            </w:tcBorders>
            <w:vAlign w:val="center"/>
          </w:tcPr>
          <w:p>
            <w:pPr>
              <w:pStyle w:val="TableContents"/>
              <w:bidi w:val="0"/>
              <w:spacing w:before="0" w:after="283"/>
              <w:jc w:val="left"/>
              <w:rPr/>
            </w:pPr>
            <w:r>
              <w:rPr>
                <w:spacing w:val="-3"/>
              </w:rPr>
              <w:t>Persons depositing or withdrawing shares or</w:t>
            </w:r>
            <w:r>
              <w:rPr/>
              <w:t xml:space="preserve"> </w:t>
              <w:br/>
            </w:r>
            <w:r>
              <w:rPr>
                <w:spacing w:val="-3"/>
              </w:rPr>
              <w:t xml:space="preserve">ADS holders must pay: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96" w:type="dxa"/>
            <w:tcBorders>
              <w:bottom w:val="single" w:sz="2" w:space="0" w:color="000000"/>
            </w:tcBorders>
            <w:vAlign w:val="center"/>
          </w:tcPr>
          <w:p>
            <w:pPr>
              <w:pStyle w:val="TableContents"/>
              <w:bidi w:val="0"/>
              <w:spacing w:before="0" w:after="0"/>
              <w:jc w:val="center"/>
              <w:rPr>
                <w:spacing w:val="-3"/>
              </w:rPr>
            </w:pPr>
            <w:r>
              <w:rPr>
                <w:spacing w:val="-3"/>
              </w:rPr>
              <w:t xml:space="preserve">For: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43" w:type="dxa"/>
            <w:tcBorders/>
            <w:tcMar>
              <w:bottom w:w="0" w:type="dxa"/>
            </w:tcMar>
            <w:vAlign w:val="center"/>
          </w:tcPr>
          <w:p>
            <w:pPr>
              <w:pStyle w:val="TableContents"/>
              <w:bidi w:val="0"/>
              <w:spacing w:before="0" w:after="283"/>
              <w:jc w:val="left"/>
              <w:rPr>
                <w:spacing w:val="4"/>
              </w:rPr>
            </w:pPr>
            <w:r>
              <w:rPr>
                <w:spacing w:val="4"/>
              </w:rPr>
              <w:t xml:space="preserve">Registration or transfer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96" w:type="dxa"/>
            <w:tcBorders/>
            <w:tcMar>
              <w:bottom w:w="0" w:type="dxa"/>
            </w:tcMar>
            <w:vAlign w:val="center"/>
          </w:tcPr>
          <w:p>
            <w:pPr>
              <w:pStyle w:val="TableContents"/>
              <w:bidi w:val="0"/>
              <w:spacing w:before="0" w:after="283"/>
              <w:jc w:val="left"/>
              <w:rPr>
                <w:spacing w:val="4"/>
              </w:rPr>
            </w:pPr>
            <w:r>
              <w:rPr>
                <w:spacing w:val="4"/>
              </w:rPr>
              <w:t xml:space="preserve">Transfer and registration of shares on our share register to or from the name of the depositary or its agent when you deposit or withdraw shares </w:t>
            </w:r>
          </w:p>
        </w:tc>
        <w:tc>
          <w:tcPr>
            <w:tcW w:w="155" w:type="dxa"/>
            <w:tcBorders/>
            <w:tcMar>
              <w:bottom w:w="0" w:type="dxa"/>
            </w:tcMar>
            <w:vAlign w:val="center"/>
          </w:tcPr>
          <w:p>
            <w:pPr>
              <w:pStyle w:val="TableContents"/>
              <w:bidi w:val="0"/>
              <w:spacing w:before="0" w:after="283"/>
              <w:jc w:val="left"/>
              <w:rPr/>
            </w:pPr>
            <w:r>
              <w:rPr/>
              <w:t>​</w:t>
            </w:r>
          </w:p>
        </w:tc>
      </w:tr>
      <w:tr>
        <w:trPr/>
        <w:tc>
          <w:tcPr>
            <w:tcW w:w="4543" w:type="dxa"/>
            <w:tcBorders/>
            <w:tcMar>
              <w:bottom w:w="0" w:type="dxa"/>
            </w:tcMar>
            <w:vAlign w:val="center"/>
          </w:tcPr>
          <w:p>
            <w:pPr>
              <w:pStyle w:val="TableContents"/>
              <w:bidi w:val="0"/>
              <w:spacing w:before="0" w:after="283"/>
              <w:jc w:val="left"/>
              <w:rPr>
                <w:spacing w:val="4"/>
              </w:rPr>
            </w:pPr>
            <w:r>
              <w:rPr>
                <w:spacing w:val="4"/>
              </w:rPr>
              <w:t xml:space="preserve">Expenses of the depositary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96" w:type="dxa"/>
            <w:tcBorders/>
            <w:tcMar>
              <w:bottom w:w="0" w:type="dxa"/>
            </w:tcMar>
            <w:vAlign w:val="center"/>
          </w:tcPr>
          <w:p>
            <w:pPr>
              <w:pStyle w:val="TableContents"/>
              <w:bidi w:val="0"/>
              <w:spacing w:before="0" w:after="283"/>
              <w:jc w:val="left"/>
              <w:rPr>
                <w:spacing w:val="4"/>
              </w:rPr>
            </w:pPr>
            <w:r>
              <w:rPr>
                <w:spacing w:val="4"/>
              </w:rPr>
              <w:t xml:space="preserve">Cable (including SWIFT) and facsimile transmissions (when expressly provided in the deposit agreement) Converting foreign currency to U.S. dollars </w:t>
            </w:r>
          </w:p>
        </w:tc>
        <w:tc>
          <w:tcPr>
            <w:tcW w:w="155" w:type="dxa"/>
            <w:tcBorders/>
            <w:tcMar>
              <w:bottom w:w="0" w:type="dxa"/>
            </w:tcMar>
            <w:vAlign w:val="center"/>
          </w:tcPr>
          <w:p>
            <w:pPr>
              <w:pStyle w:val="TableContents"/>
              <w:bidi w:val="0"/>
              <w:spacing w:before="0" w:after="283"/>
              <w:jc w:val="left"/>
              <w:rPr/>
            </w:pPr>
            <w:r>
              <w:rPr/>
              <w:t>​</w:t>
            </w:r>
          </w:p>
        </w:tc>
      </w:tr>
      <w:tr>
        <w:trPr/>
        <w:tc>
          <w:tcPr>
            <w:tcW w:w="4543" w:type="dxa"/>
            <w:tcBorders/>
            <w:tcMar>
              <w:bottom w:w="0" w:type="dxa"/>
            </w:tcMar>
            <w:vAlign w:val="center"/>
          </w:tcPr>
          <w:p>
            <w:pPr>
              <w:pStyle w:val="TableContents"/>
              <w:bidi w:val="0"/>
              <w:spacing w:before="0" w:after="283"/>
              <w:jc w:val="left"/>
              <w:rPr>
                <w:spacing w:val="4"/>
              </w:rPr>
            </w:pPr>
            <w:r>
              <w:rPr>
                <w:spacing w:val="4"/>
              </w:rPr>
              <w:t xml:space="preserve">Taxes and other governmental charges the depositary or the custodian has to pay on any ADSs or shares underlying ADSs, such as stock transfer taxes, stamp duty or withholding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96" w:type="dxa"/>
            <w:tcBorders/>
            <w:tcMar>
              <w:bottom w:w="0" w:type="dxa"/>
            </w:tcMar>
            <w:vAlign w:val="center"/>
          </w:tcPr>
          <w:p>
            <w:pPr>
              <w:pStyle w:val="TableContents"/>
              <w:bidi w:val="0"/>
              <w:spacing w:before="0" w:after="283"/>
              <w:jc w:val="left"/>
              <w:rPr>
                <w:spacing w:val="4"/>
              </w:rPr>
            </w:pPr>
            <w:r>
              <w:rPr>
                <w:spacing w:val="4"/>
              </w:rPr>
              <w:t xml:space="preserve">As necessary </w:t>
            </w:r>
          </w:p>
        </w:tc>
        <w:tc>
          <w:tcPr>
            <w:tcW w:w="155" w:type="dxa"/>
            <w:tcBorders/>
            <w:tcMar>
              <w:bottom w:w="0" w:type="dxa"/>
            </w:tcMar>
            <w:vAlign w:val="center"/>
          </w:tcPr>
          <w:p>
            <w:pPr>
              <w:pStyle w:val="TableContents"/>
              <w:bidi w:val="0"/>
              <w:spacing w:before="0" w:after="283"/>
              <w:jc w:val="left"/>
              <w:rPr/>
            </w:pPr>
            <w:r>
              <w:rPr/>
              <w:t>​</w:t>
            </w:r>
          </w:p>
        </w:tc>
      </w:tr>
      <w:tr>
        <w:trPr/>
        <w:tc>
          <w:tcPr>
            <w:tcW w:w="4543" w:type="dxa"/>
            <w:tcBorders/>
            <w:tcMar>
              <w:bottom w:w="0" w:type="dxa"/>
            </w:tcMar>
            <w:vAlign w:val="center"/>
          </w:tcPr>
          <w:p>
            <w:pPr>
              <w:pStyle w:val="TableContents"/>
              <w:bidi w:val="0"/>
              <w:spacing w:before="0" w:after="283"/>
              <w:jc w:val="left"/>
              <w:rPr>
                <w:spacing w:val="4"/>
              </w:rPr>
            </w:pPr>
            <w:r>
              <w:rPr>
                <w:spacing w:val="4"/>
              </w:rPr>
              <w:t xml:space="preserve">Any charges incurred by the depositary or its agents for servicing the deposited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96" w:type="dxa"/>
            <w:tcBorders/>
            <w:tcMar>
              <w:bottom w:w="0" w:type="dxa"/>
            </w:tcMar>
            <w:vAlign w:val="center"/>
          </w:tcPr>
          <w:p>
            <w:pPr>
              <w:pStyle w:val="TableContents"/>
              <w:bidi w:val="0"/>
              <w:spacing w:before="0" w:after="283"/>
              <w:jc w:val="left"/>
              <w:rPr/>
            </w:pPr>
            <w:r>
              <w:rPr>
                <w:spacing w:val="4"/>
              </w:rPr>
              <w:t>As necessary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34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of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Tender and Exchange Offers; Redemption, Replacement or Cancelation of Deposited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not tender deposited securities in any voluntary tender or exchange offer unless instructed to do so by an ADS holder surrendering ADSs and subject to any conditions or procedures the depositary may establish.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are no deposited securities underlying ADSs, including if the deposited securities are canceled, or if the deposited securities underlying ADSs have become apparently worthless, the depositary may call for surrender of those ADSs or cancel those ADSs upon notice to the ADS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may the deposit agreement be amended?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color w:val="000000"/>
          <w:spacing w:val="4"/>
          <w:sz w:val="20"/>
        </w:rPr>
        <w:t>At the time an amendment becomes effective, you are considered, by continuing to hold your ADSs, to agree to the amendment and to be bound by the ADRs and the deposit agreement as amended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may the deposit agreement be terminated?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initiate termination of the deposit agreement if we instruct it to do so. The depositary may initiate termination of the deposit agreement if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60 days have passed since the depositary told us it wants to resign but a successor depositary has not been appointed and accepted its appointment; </w:t>
      </w:r>
      <w:r>
        <mc:AlternateContent>
          <mc:Choice Requires="wps">
            <w:drawing>
              <wp:anchor behindDoc="0" distT="6731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delist the ADSs from an exchange in the United States on which they were listed and do not list the ADSs on another exchange in the United States or make arrangements for trading of ADSs on the U.S. over-the-counter market; </w:t>
      </w:r>
      <w:r>
        <mc:AlternateContent>
          <mc:Choice Requires="wps">
            <w:drawing>
              <wp:anchor behindDoc="0" distT="6731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delist our shares from an exchange outside the United States on which they were listed and do not list the shares on another exchange outside the United States; </w:t>
      </w:r>
      <w:r>
        <mc:AlternateContent>
          <mc:Choice Requires="wps">
            <w:drawing>
              <wp:anchor behindDoc="0" distT="6731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reason to believe the ADSs have become, or will become, ineligible for registration on Form F-6 under the Securities Act of 1933; </w:t>
      </w:r>
      <w:r>
        <mc:AlternateContent>
          <mc:Choice Requires="wps">
            <w:drawing>
              <wp:anchor behindDoc="0" distT="6731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appear to be insolvent or enter insolvency proceedings; </w:t>
      </w:r>
      <w:r>
        <mc:AlternateContent>
          <mc:Choice Requires="wps">
            <w:drawing>
              <wp:anchor behindDoc="0" distT="673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 substantially all the value of the deposited securities has been distributed either in cash or in the form of securities; </w:t>
      </w:r>
      <w:r>
        <mc:AlternateContent>
          <mc:Choice Requires="wps">
            <w:drawing>
              <wp:anchor behindDoc="0" distT="673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deposited securities underlying the ADSs or the underlying deposited securities have become apparently worthless; or </w:t>
      </w:r>
      <w:r>
        <mc:AlternateContent>
          <mc:Choice Requires="wps">
            <w:drawing>
              <wp:anchor behindDoc="0" distT="0" distB="0" distL="254000" distR="0" simplePos="0" locked="0" layoutInCell="1" allowOverlap="1" relativeHeight="57">
                <wp:simplePos x="0" y="0"/>
                <wp:positionH relativeFrom="column">
                  <wp:align>left</wp:align>
                </wp:positionH>
                <wp:positionV relativeFrom="line">
                  <wp:posOffset>635</wp:posOffset>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replacement of deposited securities. </w:t>
      </w:r>
      <w:r>
        <mc:AlternateContent>
          <mc:Choice Requires="wps">
            <w:drawing>
              <wp:anchor behindDoc="0" distT="774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 holders (until they surrender their ADSs) or give any notices or perform any other duties under the deposit agreement except as described in this paragraph.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Obligations and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Limits on our Obligations and the Obligations of the Depositary; Limits on Liability to Holders of 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expressly limits our obligations and the obligations of the depositary. It also limits our liability and the liability of the depositary. We and the depositary: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only obligated to take the actions specifically set forth in the deposit agreement without negligence or bad faith, and the depositary will not be a fiduciary or have any fiduciary duty to holders of ADSs;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not liable if we are or it is prevented or delayed by law or by events or circumstances beyond our or its ability to prevent or counteract with reasonable care or effort from performing our or its obligations under the deposit agreement;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not liable if we or it exercises discretion permitted under the deposit agreement;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no obligation to become involved in a lawsuit or other proceeding related to the ADSs or the deposit agreement on your behalf or on behalf of any other person;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rely upon any documents we believe or it believes in good faith to be genuine and to have been signed or presented by the proper person;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not liable for the acts or omissions of any securities depository, clearing agency or settlement system; and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we and the depositary agree to indemnify each other under certain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Registration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communications; inspection of register of holders of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Waiver of Jury Trial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However, you will not, by agreeing to the terms of the deposit agreement, be deemed to have waived our or the depositary’s compliance with U.S. federal securities laws or the rules and regulations promulgated thereunder.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P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PREFERRED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particular terms of each issue or series of preferred shares will be described in the related prospectus supplement. This description will include, where applicable, a description of: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nominal value of the preferred shares; </w:t>
      </w:r>
      <w:r>
        <mc:AlternateContent>
          <mc:Choice Requires="wps">
            <w:drawing>
              <wp:anchor behindDoc="0" distT="7874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preferred shares we are offering; </w:t>
      </w:r>
      <w:r>
        <mc:AlternateContent>
          <mc:Choice Requires="wps">
            <w:drawing>
              <wp:anchor behindDoc="0" distT="787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per preferred share, if any; </w:t>
      </w:r>
      <w:r>
        <mc:AlternateContent>
          <mc:Choice Requires="wps">
            <w:drawing>
              <wp:anchor behindDoc="0" distT="787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 price per preferred share (or if applicable, the calculation formula of the issue price per preferred share); </w:t>
      </w:r>
      <w:r>
        <mc:AlternateContent>
          <mc:Choice Requires="wps">
            <w:drawing>
              <wp:anchor behindDoc="0" distT="7874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preferential subscription rights will be issued to existing shareholders; </w:t>
      </w:r>
      <w:r>
        <mc:AlternateContent>
          <mc:Choice Requires="wps">
            <w:drawing>
              <wp:anchor behindDoc="0" distT="7874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per preferred share, dividend period and payment dates and method of calculation for dividends;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or non-cumulative and, if cumulative, the date from which dividends will accumulate;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 of dividends and the maximum length of any such deferral period;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ranking and preferences of the preferred shares as to dividend rights (preferred dividend if any) and rights if we liquidate, dissolve or wind up the Company; </w:t>
      </w:r>
      <w:r>
        <mc:AlternateContent>
          <mc:Choice Requires="wps">
            <w:drawing>
              <wp:anchor behindDoc="0" distT="7874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any auction and remarketing, if any; </w:t>
      </w:r>
      <w:r>
        <mc:AlternateContent>
          <mc:Choice Requires="wps">
            <w:drawing>
              <wp:anchor behindDoc="0" distT="7874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redemption or repurchase, if applicable, and any restrictions on our ability to exercise those redemption and repurchase rights; </w:t>
      </w:r>
      <w:r>
        <mc:AlternateContent>
          <mc:Choice Requires="wps">
            <w:drawing>
              <wp:anchor behindDoc="0" distT="787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preferred shares on any securities exchange or market;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shares will be convertible into our ordinary shares (including in the form of ADSs) or preferred shares of another category, and, if applicable, conditions of an automatic conversion into ordinary shares (including in the form of ADSs), if any, the conversion period, the conversion price, or how such price will be calculated, and under what circumstances it may be adjusted; </w:t>
      </w:r>
      <w:r>
        <mc:AlternateContent>
          <mc:Choice Requires="wps">
            <w:drawing>
              <wp:anchor behindDoc="0" distT="787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if any, of the preferred shares; </w:t>
      </w:r>
      <w:r>
        <mc:AlternateContent>
          <mc:Choice Requires="wps">
            <w:drawing>
              <wp:anchor behindDoc="0" distT="787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preemption rights, if any; </w:t>
      </w:r>
      <w:r>
        <mc:AlternateContent>
          <mc:Choice Requires="wps">
            <w:drawing>
              <wp:anchor behindDoc="0" distT="787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restrictions on transfer, sale or assignment, if any;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interests in the preferred shares will be represented by American Depositary Preferred Shares; </w:t>
      </w:r>
      <w:r>
        <mc:AlternateContent>
          <mc:Choice Requires="wps">
            <w:drawing>
              <wp:anchor behindDoc="0" distT="787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or special Cayman Islands or United States federal income tax considerations applicable to the preferred shares; </w:t>
      </w:r>
      <w:r>
        <mc:AlternateContent>
          <mc:Choice Requires="wps">
            <w:drawing>
              <wp:anchor behindDoc="0" distT="787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issuances of any class or series of preferred shares ranking senior to or on a parity with the series of preferred shares being issued as to dividend rights and rights if we liquidate, dissolve or wind up our affairs;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rights attached to the preferred shares regarding the corporate governance of our company, which may include, for example representation rights to the board of directors; and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rights, preferences, privileges, qualifications or restrictions of the preferred shares.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cause the Company to issue from time to time, out of the authorized share capital of the Company (other than the authorized but unissued ordinary shares), series of preferred shares in their absolute discretion, subject to a re-classification of the authorized share capital of the Company to be approved by the shareholders and provided that before any preferred shares of any such series are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shall by resolution of directors determine, with respect to any series of preferred shares, the terms and rights of that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issue preferred shares under this prospectus and the applicable prospectus supplement, the shares will be fully paid and non-assessable and will not have, or be subject to, any preemptive or similar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preferred shares could adversely affect the voting power of holders of ordinary shares and ADSs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W"/>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warrants does not purport to be complete and is subject to, and qualified in its entirety by reference to, the provisions of the warrant agreement that will be filed with the SEC in connection with the offering of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ordinary shares, including ordinary shares represented by ADSs.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of any warrants in respect of which this prospectus is being delivered: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warrants;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such warrants;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such warrants will be issued and exercised;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 which the price of such warrants will be payable;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purchasable upon exercise of such warrants;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warrants shall commence and the date on which such right shall expire;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such warrants which may be exercised at any one time;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with which such warrants are issued and the number of such warrants issued with each such security;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such warrants and the related securities will be separately transferable;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material Cayman Islands or United States federal income tax consequences;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antidilution provisions of the warrants, if any; and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warrants, including terms, procedures and limitations relating to the exchange and exercise of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Supplements to Warrant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S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purchase ordinary shares, including ordinary shares represented by ADSs.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of subscription rights in respect of which this prospectus is being delivered: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subscription rights;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for which such subscription rights are exercisable; </w:t>
      </w:r>
      <w:r>
        <mc:AlternateContent>
          <mc:Choice Requires="wps">
            <w:drawing>
              <wp:anchor behindDoc="0" distT="8255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such subscription rights; </w:t>
      </w:r>
      <w:r>
        <mc:AlternateContent>
          <mc:Choice Requires="wps">
            <w:drawing>
              <wp:anchor behindDoc="0" distT="8255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such subscription rights issued to each shareholder; </w:t>
      </w:r>
      <w:r>
        <mc:AlternateContent>
          <mc:Choice Requires="wps">
            <w:drawing>
              <wp:anchor behindDoc="0" distT="8255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are transferable; </w:t>
      </w:r>
      <w:r>
        <mc:AlternateContent>
          <mc:Choice Requires="wps">
            <w:drawing>
              <wp:anchor behindDoc="0" distT="8255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the material Cayman Islands or United States federal income tax considerations applicable to the issuance or exercise of such subscription rights; </w:t>
      </w:r>
      <w:r>
        <mc:AlternateContent>
          <mc:Choice Requires="wps">
            <w:drawing>
              <wp:anchor behindDoc="0" distT="8255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subscription rights shall commence, and the date on which such rights shall expire (subject to any extension); </w:t>
      </w:r>
      <w:r>
        <mc:AlternateContent>
          <mc:Choice Requires="wps">
            <w:drawing>
              <wp:anchor behindDoc="0" distT="8255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include an over-subscription privilege with respect to unsubscribed securities; </w:t>
      </w:r>
      <w:r>
        <mc:AlternateContent>
          <mc:Choice Requires="wps">
            <w:drawing>
              <wp:anchor behindDoc="0" distT="8255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other purchase arrangement that we may enter into in connection with the subscription rights offering; and </w:t>
      </w:r>
      <w:r>
        <mc:AlternateContent>
          <mc:Choice Requires="wps">
            <w:drawing>
              <wp:anchor behindDoc="0" distT="8255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subscription rights, including terms, procedures and limitations relating to the exchange and exercise of such subscription rights. </w:t>
      </w:r>
      <w:r>
        <mc:AlternateContent>
          <mc:Choice Requires="wps">
            <w:drawing>
              <wp:anchor behindDoc="0" distT="8255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ordinary shares purchasable upon such exercise. We may determine to offer any unsubscribed offered securities directly to persons other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to or through agents, underwriters or dealers or through a combination of such methods, including pursuant to standby underwriting arrangements, as set forth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those securities may be held or transferred separately;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unit agreement under which the units will be issued;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issuance, payment, settlement, transfer or exchange of the units or of the securities comprising the units; and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OU"/>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those securities may be held or transferred separately;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unit agreement under which the units will be issued;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issuance, payment, settlement, transfer or exchange of the units or of the securities comprising the units; and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OCL"/>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of our operations are conducted in China, and most of our assets are located in China.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appointed Cogency Global Inc. as our agent to receive service of process with respect to any action brought against us in the U.S. District Court for the Southern District of New York under the federal securities laws of the U.S. or of any state in the U.S. or any action brought against us in the Supreme Court of the State of New York in the County of New York under the securities laws of the State of New York.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Maples and Calder (Hong Kong) LLP, our counsel as to Cayman Islands law, has advised us that the courts of the Cayman Islands are unlikely (1) to recognize or enforce judgments of U.S. courts obtained against us or our directors or officers that are predicated upon the civil liability provisions of the federal securities laws of the United States or the securities laws of any state in the United States, or (2) in original actions brought in the Cayman Islands to impose liabilities against us or our directors or officers that are predicated upon the federal securities laws of the United States or the securities laws of any state in the United States so far as the liabilities imposed by those provisions are penal in nature.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Maples and Calder (Hong Kong) LLP has advised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(v) is not inconsistent with a Cayman Islands judgment in respect of the same matter, and (vi) is not impeachable on the grounds of fraud and was not obtained in a manner and is not of a kind the enforcement of which is contrary to natural justice or the public policy of the Cayman Islands. A Cayman Islands court may stay enforcement proceedings if concurrent proceedings are being brought elsewhere.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Jingtian &amp; Gongcheng, our PRC legal adviser,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Jingtian &amp; Gongcheng has advised us further that under PRC law, courts in the PRC will not recognize or enforce a foreign judgment against us or our directors and officers if they decide that the judgment violates the basic principles of PRC law or national sovereignty, security or social public interest. As there exists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TAX"/>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income tax considerations relating to the purchase, ownership and disposition of any of the securities offered by this prospectus will be set forth in the applicable prospectus supplement relating to the offering of those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O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describe the terms of the offering, including the following information, if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of subscription rights in respect of which this prospectus is being delivered: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dealers or agents; </w:t>
      </w:r>
      <w:r>
        <mc:AlternateContent>
          <mc:Choice Requires="wps">
            <w:drawing>
              <wp:anchor behindDoc="0" distT="889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889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w:t>
      </w:r>
      <w:r>
        <mc:AlternateContent>
          <mc:Choice Requires="wps">
            <w:drawing>
              <wp:anchor behindDoc="0" distT="889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from the sale of the securities; </w:t>
      </w:r>
      <w:r>
        <mc:AlternateContent>
          <mc:Choice Requires="wps">
            <w:drawing>
              <wp:anchor behindDoc="0" distT="889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889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889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offering price to the public; </w:t>
      </w:r>
      <w:r>
        <mc:AlternateContent>
          <mc:Choice Requires="wps">
            <w:drawing>
              <wp:anchor behindDoc="0" distT="889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889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w:t>
      </w:r>
      <w:r>
        <mc:AlternateContent>
          <mc:Choice Requires="wps">
            <w:drawing>
              <wp:anchor behindDoc="0" distT="889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the underwriters will acquire the securities for their own account, including through underwriting, purchase, security lending or repurchase agreements.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making, stabilization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transactions and hedging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auctions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a bid, such as the clearing spread at which the offering would be sold, based on the bids submitted, and whether a bidder’s individual bids would be accepted, prorated or rejected. Of course, many pricing methods can and may also be used.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underwriters, and dealers may be entitled, under agreements entered into with us, to indemnification by us against certain liabilities, including liabilities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LEMA"/>
      <w:bookmarkEnd w:id="18"/>
      <w:r>
        <w:rPr>
          <w:rFonts w:ascii="calibri;arial;sans-serif" w:hAnsi="calibri;arial;sans-serif"/>
          <w:b w:val="false"/>
          <w:i w:val="false"/>
          <w:caps w:val="false"/>
          <w:smallCaps w:val="false"/>
          <w:color w:val="000000"/>
          <w:sz w:val="16"/>
        </w:rPr>
        <w:t>​</w:t>
      </w:r>
      <w:bookmarkStart w:id="19" w:name="tEXP"/>
      <w:bookmarkEnd w:id="19"/>
      <w:r>
        <w:rPr>
          <w:rFonts w:ascii="calibri;arial;sans-serif" w:hAnsi="calibri;arial;sans-serif"/>
          <w:b w:val="false"/>
          <w:i w:val="false"/>
          <w:caps w:val="false"/>
          <w:smallCaps w:val="false"/>
          <w:color w:val="000000"/>
          <w:sz w:val="16"/>
        </w:rPr>
        <w:t>​</w:t>
      </w:r>
      <w:bookmarkStart w:id="20" w:name="tWY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being represented by Han Kun Law Offices LLP with respect to certain legal matters of United States federal securities and New York state law. The validity of the Class A ordinary shares represented by the ADSs offered in this offering and legal matters as to Cayman Islands law will be passed upon for us by Maples and Calder (Hong Kong) LLP. Certain legal matters as to PRC law will be passed upon for us by Jingtian &amp; Gongcheng. Han Kun Law Offices LLP and Maples and Calder (Hong Kong) LLP may rely upon Jingtian &amp; Gongcheng with respect to matters governed by PRC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as of December 31, 2023, 2024 and 2025 and for each of the three years in the period ended December 31, 2025 incorporated by reference in this prospectus have been so included in reliance on the report of PricewaterhouseCoopers Zhong Tian LLP, an independent registered public accounting firm, given on the authority of said firm as experts in auditing and accounting.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ABOUT 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 Our SEC filings may also be obtained over the Internet at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website is www.36kr.com. The information contained on our websites is not a part of this prospectus. Our agent for service of process in the United States is Cogency Global Inc., located at 122 East 42nd Street, 18th Floor, New York, N.Y. 10168.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IODB"/>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following documents: </w:t>
      </w:r>
    </w:p>
    <w:p>
      <w:pPr>
        <w:pStyle w:val="TextBody"/>
        <w:bidi w:val="0"/>
        <w:spacing w:lineRule="atLeast" w:line="240" w:before="120" w:after="0"/>
        <w:ind w:left="1993" w:right="0" w:hanging="0"/>
        <w:jc w:val="left"/>
        <w:rPr/>
      </w:pPr>
      <w:hyperlink r:id="rId3">
        <w:r>
          <w:rPr>
            <w:rStyle w:val="InternetLink"/>
          </w:rPr>
          <w:t>our annual report on Form 20-F for the fiscal year ended December 31, 2025, filed with the SEC on April 23, 2026</w:t>
        </w:r>
      </w:hyperlink>
      <w:r>
        <w:rPr>
          <w:rFonts w:ascii="Times New Roman;Times;serif" w:hAnsi="Times New Roman;Times;serif"/>
          <w:b w:val="false"/>
          <w:i w:val="false"/>
          <w:caps w:val="false"/>
          <w:smallCaps w:val="false"/>
          <w:color w:val="000000"/>
          <w:spacing w:val="4"/>
          <w:sz w:val="20"/>
        </w:rPr>
        <w:t xml:space="preserve">, as amended by </w:t>
      </w:r>
      <w:hyperlink r:id="rId4">
        <w:r>
          <w:rPr>
            <w:rStyle w:val="InternetLink"/>
          </w:rPr>
          <w:t>Amendment No.1 thereto on Form 20-F/A filed with the SEC on May 19,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Reports on Form 6-K furnished to the SEC on </w:t>
      </w:r>
      <w:hyperlink r:id="rId5">
        <w:r>
          <w:rPr>
            <w:rStyle w:val="InternetLink"/>
          </w:rPr>
          <w:t>March 17, 2026</w:t>
        </w:r>
      </w:hyperlink>
      <w:r>
        <w:rPr>
          <w:rFonts w:ascii="Times New Roman;Times;serif" w:hAnsi="Times New Roman;Times;serif"/>
          <w:b w:val="false"/>
          <w:i w:val="false"/>
          <w:caps w:val="false"/>
          <w:smallCaps w:val="false"/>
          <w:color w:val="000000"/>
          <w:spacing w:val="4"/>
          <w:sz w:val="20"/>
        </w:rPr>
        <w:t xml:space="preserve">, </w:t>
      </w:r>
      <w:hyperlink r:id="rId6">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and </w:t>
      </w:r>
      <w:hyperlink r:id="rId7">
        <w:r>
          <w:rPr>
            <w:rStyle w:val="InternetLink"/>
          </w:rPr>
          <w:t>August 20,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securities contained in our Registration Statement on </w:t>
      </w:r>
      <w:hyperlink r:id="rId8">
        <w:r>
          <w:rPr>
            <w:rStyle w:val="InternetLink"/>
          </w:rPr>
          <w:t>Form 8-A</w:t>
        </w:r>
      </w:hyperlink>
      <w:r>
        <w:rPr>
          <w:rFonts w:ascii="Times New Roman;Times;serif" w:hAnsi="Times New Roman;Times;serif"/>
          <w:b w:val="false"/>
          <w:i w:val="false"/>
          <w:caps w:val="false"/>
          <w:smallCaps w:val="false"/>
          <w:color w:val="000000"/>
          <w:spacing w:val="4"/>
          <w:sz w:val="20"/>
        </w:rPr>
        <w:t xml:space="preserve"> filed with the SEC on November 1, 2019, as updated by </w:t>
      </w:r>
      <w:hyperlink r:id="rId9">
        <w:r>
          <w:rPr>
            <w:rStyle w:val="InternetLink"/>
          </w:rPr>
          <w:t>Exhibit 2.4</w:t>
        </w:r>
      </w:hyperlink>
      <w:r>
        <w:rPr>
          <w:rFonts w:ascii="Times New Roman;Times;serif" w:hAnsi="Times New Roman;Times;serif"/>
          <w:b w:val="false"/>
          <w:i w:val="false"/>
          <w:caps w:val="false"/>
          <w:smallCaps w:val="false"/>
          <w:color w:val="000000"/>
          <w:spacing w:val="4"/>
          <w:sz w:val="20"/>
        </w:rPr>
        <w:t xml:space="preserve"> to our Annual Report on Form 20-F for the fiscal year ended December 31, 2020 filed with the SEC on April 29, 2021, and including any amendments or reports filed for purposes of updating such descriptions;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future annual reports on Form 20-F filed with the SEC after the date of this prospectus and prior to the termination of the offering of the securities offered by this prospectus; and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future reports on Form 6-K that we furnish to the SEC after the date of this prospectus that are identified in such reports as being incorporated by reference in this prospectus.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report for the fiscal year ended December 31, 2025 contains a description of our business and audited consolidated financial statements with a report by our independent auditor. The consolidated financial statements are prepared and presented in accordance with U.S.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36Kr Holdings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Building B6, Universal Business Park,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 10 Jiuxianqiao Road,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Chaoyang District, Beijing, People’s Republic of China, 100015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+86 10 8965-0708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indemnification agreements with our directors and executive officers, the form of which was filed as Exhibit 10.2 to our registration statement on Form F-1, as amended (File No. 333-234006), we have agreed to indemnify our directors and executive officers against certain liabilities and expenses incurred by such persons in connection with claims made by reason of their being such a director or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agreement entered into in connection with an offering of our securities may also provide for indemnification of us and our officers and directors in certain cases.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a directors and officers liability insurance policy for our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Exhibit Index beginning on page II-3 of this registration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volume and price represent no more than 20% change in the maximum aggregate offering price set forth in the “Calculation of Registration Fee” table in the effective registration statement;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under the Securities Act to any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That, for the purpose of determining liability of the registrant under the Securities Act to any purchaser in the initial distribution of the securities: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undersigned registrant relating to the offering required to be filed pursuant to Rule 424;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undersigned registrant or used or referred to by the undersigned registrant;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undersigned registrant to the purchaser.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84"/>
        <w:gridCol w:w="109"/>
        <w:gridCol w:w="109"/>
        <w:gridCol w:w="743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4"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left"/>
              <w:rPr/>
            </w:pPr>
            <w:hyperlink r:id="rId10">
              <w:r>
                <w:rPr>
                  <w:rStyle w:val="InternetLink"/>
                  <w:spacing w:val="4"/>
                </w:rPr>
                <w:t>Registrant’s Specimen American Depositary Receipt evidencing American Depositary Shares (included in Exhibit 4.3).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283"/>
              <w:jc w:val="left"/>
              <w:rPr/>
            </w:pPr>
            <w:hyperlink r:id="rId11">
              <w:r>
                <w:rPr>
                  <w:rStyle w:val="InternetLink"/>
                </w:rPr>
                <w:t>Registrant’s Specimen Certificate for Class A Ordinary Shares (incorporated herein by reference to Exhibit 4.2 to the registration statement on Form F-1 (File No. 333-234006), as amended, initially filed with the SEC on September 30,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283"/>
              <w:jc w:val="left"/>
              <w:rPr/>
            </w:pPr>
            <w:hyperlink r:id="rId12">
              <w:r>
                <w:rPr>
                  <w:rStyle w:val="InternetLink"/>
                </w:rPr>
                <w:t>Form of Deposit Agreement among the Registrant, the depositary and holders of the American Depositary Shares (incorporated herein by reference to Exhibit 4.3 to the registration statement on Form F-1 (File No. 333-234006), as amended, initially filed with the SEC on September 30,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283"/>
              <w:jc w:val="left"/>
              <w:rPr>
                <w:spacing w:val="4"/>
              </w:rPr>
            </w:pPr>
            <w:r>
              <w:rPr>
                <w:spacing w:val="4"/>
              </w:rPr>
              <w:t xml:space="preserve">Certificate of Designation for Preferred Shares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283"/>
              <w:jc w:val="left"/>
              <w:rPr>
                <w:spacing w:val="4"/>
              </w:rPr>
            </w:pPr>
            <w:r>
              <w:rPr>
                <w:spacing w:val="4"/>
              </w:rPr>
              <w:t xml:space="preserve">Registrant’s Specimen of Warrant Certificate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903"/>
        <w:gridCol w:w="109"/>
        <w:gridCol w:w="109"/>
        <w:gridCol w:w="741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03"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Exhibit </w:t>
            </w:r>
            <w:r>
              <w:rPr/>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1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spacing w:val="4"/>
              </w:rPr>
            </w:pPr>
            <w:r>
              <w:rPr>
                <w:spacing w:val="4"/>
              </w:rPr>
              <w:t xml:space="preserve">Form of Warrant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spacing w:val="4"/>
              </w:rPr>
            </w:pPr>
            <w:r>
              <w:rPr>
                <w:spacing w:val="4"/>
              </w:rPr>
              <w:t xml:space="preserve">Form of Subscription Rights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spacing w:val="4"/>
              </w:rPr>
            </w:pPr>
            <w:r>
              <w:rPr>
                <w:spacing w:val="4"/>
              </w:rPr>
              <w:t xml:space="preserve">Form of Subscription Rights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ind w:left="1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spacing w:val="4"/>
              </w:rPr>
            </w:pPr>
            <w:r>
              <w:rPr>
                <w:spacing w:val="4"/>
              </w:rPr>
              <w:t xml:space="preserve">Specimen Unit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pPr>
            <w:hyperlink w:anchor="tm2625538d2_ex5-1.htm">
              <w:r>
                <w:rPr>
                  <w:rStyle w:val="InternetLink"/>
                </w:rPr>
                <w:t>Opinion of Maples and Calder (Hong Kong) LLP regarding the validity of the securities being registered</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ind w:left="100" w:right="0" w:hanging="0"/>
              <w:jc w:val="left"/>
              <w:rPr>
                <w:spacing w:val="4"/>
              </w:rPr>
            </w:pPr>
            <w:r>
              <w:rPr>
                <w:spacing w:val="4"/>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pPr>
            <w:hyperlink w:anchor="tm2625538d2_ex5-1.htm">
              <w:r>
                <w:rPr>
                  <w:rStyle w:val="InternetLink"/>
                </w:rPr>
                <w:t xml:space="preserve">Opinion of Maples and Calder (Hong Kong) LLP regarding certain Cayman Islands tax matters (included in Exhibit 5.1)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ind w:left="100" w:right="0" w:hanging="0"/>
              <w:jc w:val="left"/>
              <w:rPr>
                <w:spacing w:val="4"/>
              </w:rPr>
            </w:pPr>
            <w:r>
              <w:rPr>
                <w:spacing w:val="4"/>
              </w:rPr>
              <w:t xml:space="preserve">8.2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pPr>
            <w:hyperlink w:anchor="tm2625538d2_ex8-2.htm">
              <w:r>
                <w:rPr>
                  <w:rStyle w:val="InternetLink"/>
                </w:rPr>
                <w:t>Opinion of Jingtian &amp; Gongcheng regarding certain PRC law matters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pPr>
            <w:hyperlink w:anchor="tm2625538d2_ex23-1.htm">
              <w:r>
                <w:rPr>
                  <w:rStyle w:val="InternetLink"/>
                </w:rPr>
                <w:t>Consent of PricewaterhouseCoopers Zhong Tian LLP, an independent registered public accounting firm</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0"/>
              <w:jc w:val="left"/>
              <w:rPr/>
            </w:pPr>
            <w:hyperlink w:anchor="tm2625538d2_ex5-1.htm">
              <w:r>
                <w:rPr>
                  <w:rStyle w:val="InternetLink"/>
                  <w:spacing w:val="4"/>
                </w:rPr>
                <w:t xml:space="preserve">Consent of Maples and Calder (Hong Kong) LLP (included in Exhibit 5.1)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pPr>
            <w:hyperlink w:anchor="tm2625538d2_ex23-3.htm">
              <w:r>
                <w:rPr>
                  <w:rStyle w:val="InternetLink"/>
                </w:rPr>
                <w:t>Consent of Jingtian &amp; Gongcheng</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3"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2" w:type="dxa"/>
            <w:tcBorders/>
            <w:tcMar>
              <w:bottom w:w="0" w:type="dxa"/>
            </w:tcMar>
            <w:vAlign w:val="center"/>
          </w:tcPr>
          <w:p>
            <w:pPr>
              <w:pStyle w:val="TableContents"/>
              <w:bidi w:val="0"/>
              <w:spacing w:before="0" w:after="283"/>
              <w:jc w:val="left"/>
              <w:rPr/>
            </w:pPr>
            <w:hyperlink w:anchor="tm2625538d1_ex-filingfees.htm">
              <w:r>
                <w:rPr>
                  <w:rStyle w:val="InternetLink"/>
                </w:rPr>
                <w:t>Calculation of Filing Fee Table</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filed as an exhibit to a post-effective amendment to this registration statement or as an exhibit to a report filed or furnished under the Exchange Act and incorporated by reference.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Beijing, China on September 22, 2026. </w:t>
      </w:r>
    </w:p>
    <w:tbl>
      <w:tblPr>
        <w:tblW w:w="3867" w:type="dxa"/>
        <w:jc w:val="left"/>
        <w:tblInd w:w="1393" w:type="dxa"/>
        <w:tblLayout w:type="fixed"/>
        <w:tblCellMar>
          <w:top w:w="0" w:type="dxa"/>
          <w:left w:w="0" w:type="dxa"/>
          <w:bottom w:w="0" w:type="dxa"/>
          <w:right w:w="0" w:type="dxa"/>
        </w:tblCellMar>
      </w:tblPr>
      <w:tblGrid>
        <w:gridCol w:w="124"/>
        <w:gridCol w:w="109"/>
        <w:gridCol w:w="109"/>
        <w:gridCol w:w="109"/>
        <w:gridCol w:w="3262"/>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2" w:type="dxa"/>
            <w:tcBorders/>
            <w:vAlign w:val="center"/>
          </w:tcPr>
          <w:p>
            <w:pPr>
              <w:pStyle w:val="TableContents"/>
              <w:bidi w:val="0"/>
              <w:spacing w:before="0" w:after="283"/>
              <w:jc w:val="left"/>
              <w:rPr>
                <w:spacing w:val="-4"/>
              </w:rPr>
            </w:pPr>
            <w:r>
              <w:rPr>
                <w:spacing w:val="-4"/>
              </w:rPr>
              <w:t xml:space="preserve">36Kr Holdings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2" w:type="dxa"/>
            <w:tcBorders/>
            <w:vAlign w:val="center"/>
          </w:tcPr>
          <w:p>
            <w:pPr>
              <w:pStyle w:val="TableContents"/>
              <w:bidi w:val="0"/>
              <w:spacing w:lineRule="atLeast" w:line="200" w:before="0" w:after="0"/>
              <w:ind w:left="400" w:right="0" w:hanging="0"/>
              <w:jc w:val="left"/>
              <w:rPr>
                <w:spacing w:val="4"/>
              </w:rPr>
            </w:pPr>
            <w:r>
              <w:rPr>
                <w:spacing w:val="4"/>
              </w:rPr>
              <w:t xml:space="preserve">/s/ Dagang Feng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254000" cy="52578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 xml:space="preserve">Name: Dagang Feng </w:t>
            </w:r>
            <w:r>
              <w:rPr/>
              <w:br/>
            </w:r>
            <w:r>
              <w:rPr>
                <w:spacing w:val="4"/>
              </w:rPr>
              <w:t>Title:  Chief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1708"/>
        <w:gridCol w:w="109"/>
        <w:gridCol w:w="109"/>
        <w:gridCol w:w="4341"/>
        <w:gridCol w:w="109"/>
        <w:gridCol w:w="109"/>
        <w:gridCol w:w="2047"/>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70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4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center"/>
              <w:rPr>
                <w:spacing w:val="4"/>
              </w:rPr>
            </w:pPr>
            <w:r>
              <w:rPr>
                <w:spacing w:val="4"/>
              </w:rPr>
              <w:t xml:space="preserve">/s/ Dagang Feng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Dagang Feng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1" w:type="dxa"/>
            <w:tcBorders/>
            <w:tcMar>
              <w:bottom w:w="0" w:type="dxa"/>
            </w:tcMar>
            <w:vAlign w:val="center"/>
          </w:tcPr>
          <w:p>
            <w:pPr>
              <w:pStyle w:val="TableContents"/>
              <w:bidi w:val="0"/>
              <w:spacing w:before="0" w:after="0"/>
              <w:jc w:val="center"/>
              <w:rPr/>
            </w:pPr>
            <w:r>
              <w:rPr>
                <w:spacing w:val="4"/>
              </w:rPr>
              <w:t xml:space="preserve">Chairman of the Board of Directors and </w:t>
            </w:r>
            <w:r>
              <w:rPr/>
              <w:br/>
            </w:r>
            <w:r>
              <w:rPr>
                <w:spacing w:val="4"/>
              </w:rPr>
              <w:t>Chief Executive Officer</w:t>
            </w:r>
            <w:r>
              <w:rPr/>
              <w:t xml:space="preserve"> </w:t>
              <w:br/>
            </w:r>
            <w:r>
              <w:rPr>
                <w:i/>
                <w:spacing w:val="4"/>
              </w:rPr>
              <w:t>(Principal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7" w:type="dxa"/>
            <w:tcBorders/>
            <w:tcMar>
              <w:bottom w:w="0" w:type="dxa"/>
            </w:tcMar>
            <w:vAlign w:val="center"/>
          </w:tcPr>
          <w:p>
            <w:pPr>
              <w:pStyle w:val="TableContents"/>
              <w:bidi w:val="0"/>
              <w:spacing w:before="0" w:after="0"/>
              <w:jc w:val="center"/>
              <w:rPr>
                <w:spacing w:val="4"/>
              </w:rPr>
            </w:pPr>
            <w:r>
              <w:rPr>
                <w:spacing w:val="4"/>
              </w:rPr>
              <w:t xml:space="preserve">September 22,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center"/>
              <w:rPr>
                <w:spacing w:val="4"/>
              </w:rPr>
            </w:pPr>
            <w:r>
              <w:rPr>
                <w:spacing w:val="4"/>
              </w:rPr>
              <w:t xml:space="preserve">/s/ Yang Li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Yang 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1" w:type="dxa"/>
            <w:tcBorders/>
            <w:tcMar>
              <w:bottom w:w="0" w:type="dxa"/>
            </w:tcMar>
            <w:vAlign w:val="center"/>
          </w:tcPr>
          <w:p>
            <w:pPr>
              <w:pStyle w:val="TableContents"/>
              <w:bidi w:val="0"/>
              <w:spacing w:before="0" w:after="0"/>
              <w:jc w:val="center"/>
              <w:rPr>
                <w:spacing w:val="4"/>
              </w:rPr>
            </w:pPr>
            <w:r>
              <w:rPr>
                <w:spacing w:val="4"/>
              </w:rPr>
              <w:t xml:space="preserve">Director and Chief Content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7" w:type="dxa"/>
            <w:tcBorders/>
            <w:tcMar>
              <w:bottom w:w="0" w:type="dxa"/>
            </w:tcMar>
            <w:vAlign w:val="center"/>
          </w:tcPr>
          <w:p>
            <w:pPr>
              <w:pStyle w:val="TableContents"/>
              <w:bidi w:val="0"/>
              <w:spacing w:before="0" w:after="0"/>
              <w:jc w:val="center"/>
              <w:rPr>
                <w:spacing w:val="4"/>
              </w:rPr>
            </w:pPr>
            <w:r>
              <w:rPr>
                <w:spacing w:val="4"/>
              </w:rPr>
              <w:t xml:space="preserve">September 22,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center"/>
              <w:rPr/>
            </w:pPr>
            <w:r>
              <w:rPr>
                <w:spacing w:val="4"/>
              </w:rPr>
              <w:t>/s/ Wei Xu</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Wei Xu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1"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7" w:type="dxa"/>
            <w:tcBorders/>
            <w:tcMar>
              <w:bottom w:w="0" w:type="dxa"/>
            </w:tcMar>
            <w:vAlign w:val="center"/>
          </w:tcPr>
          <w:p>
            <w:pPr>
              <w:pStyle w:val="TableContents"/>
              <w:bidi w:val="0"/>
              <w:spacing w:before="0" w:after="0"/>
              <w:jc w:val="center"/>
              <w:rPr>
                <w:spacing w:val="4"/>
              </w:rPr>
            </w:pPr>
            <w:r>
              <w:rPr>
                <w:spacing w:val="4"/>
              </w:rPr>
              <w:t xml:space="preserve">September 22,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center"/>
              <w:rPr/>
            </w:pPr>
            <w:r>
              <w:rPr>
                <w:spacing w:val="4"/>
              </w:rPr>
              <w:t>/s/ Yifan Li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Yifan 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1" w:type="dxa"/>
            <w:tcBorders/>
            <w:tcMar>
              <w:bottom w:w="0" w:type="dxa"/>
            </w:tcMar>
            <w:vAlign w:val="center"/>
          </w:tcPr>
          <w:p>
            <w:pPr>
              <w:pStyle w:val="TableContents"/>
              <w:bidi w:val="0"/>
              <w:spacing w:before="0" w:after="0"/>
              <w:jc w:val="center"/>
              <w:rPr>
                <w:spacing w:val="4"/>
              </w:rPr>
            </w:pPr>
            <w:r>
              <w:rPr>
                <w:spacing w:val="4"/>
              </w:rPr>
              <w:t xml:space="preserve">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7" w:type="dxa"/>
            <w:tcBorders/>
            <w:tcMar>
              <w:bottom w:w="0" w:type="dxa"/>
            </w:tcMar>
            <w:vAlign w:val="center"/>
          </w:tcPr>
          <w:p>
            <w:pPr>
              <w:pStyle w:val="TableContents"/>
              <w:bidi w:val="0"/>
              <w:spacing w:before="0" w:after="0"/>
              <w:jc w:val="center"/>
              <w:rPr>
                <w:spacing w:val="4"/>
              </w:rPr>
            </w:pPr>
            <w:r>
              <w:rPr>
                <w:spacing w:val="4"/>
              </w:rPr>
              <w:t xml:space="preserve">September 22,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center"/>
              <w:rPr/>
            </w:pPr>
            <w:r>
              <w:rPr>
                <w:spacing w:val="4"/>
              </w:rPr>
              <w:t>/s/ Hendrick Sin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Hendrick Sin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1" w:type="dxa"/>
            <w:tcBorders/>
            <w:tcMar>
              <w:bottom w:w="0" w:type="dxa"/>
            </w:tcMar>
            <w:vAlign w:val="center"/>
          </w:tcPr>
          <w:p>
            <w:pPr>
              <w:pStyle w:val="TableContents"/>
              <w:bidi w:val="0"/>
              <w:spacing w:before="0" w:after="0"/>
              <w:jc w:val="center"/>
              <w:rPr>
                <w:spacing w:val="4"/>
              </w:rPr>
            </w:pPr>
            <w:r>
              <w:rPr>
                <w:spacing w:val="4"/>
              </w:rPr>
              <w:t xml:space="preserve">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7" w:type="dxa"/>
            <w:tcBorders/>
            <w:tcMar>
              <w:bottom w:w="0" w:type="dxa"/>
            </w:tcMar>
            <w:vAlign w:val="center"/>
          </w:tcPr>
          <w:p>
            <w:pPr>
              <w:pStyle w:val="TableContents"/>
              <w:bidi w:val="0"/>
              <w:spacing w:before="0" w:after="0"/>
              <w:jc w:val="center"/>
              <w:rPr>
                <w:spacing w:val="4"/>
              </w:rPr>
            </w:pPr>
            <w:r>
              <w:rPr>
                <w:spacing w:val="4"/>
              </w:rPr>
              <w:t xml:space="preserve">September 22,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center"/>
              <w:rPr/>
            </w:pPr>
            <w:r>
              <w:rPr>
                <w:spacing w:val="4"/>
              </w:rPr>
              <w:t>/s/ Jing Xu</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Jing Xu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1" w:type="dxa"/>
            <w:tcBorders/>
            <w:tcMar>
              <w:bottom w:w="0" w:type="dxa"/>
            </w:tcMar>
            <w:vAlign w:val="center"/>
          </w:tcPr>
          <w:p>
            <w:pPr>
              <w:pStyle w:val="TableContents"/>
              <w:bidi w:val="0"/>
              <w:spacing w:before="0" w:after="0"/>
              <w:jc w:val="center"/>
              <w:rPr>
                <w:spacing w:val="4"/>
              </w:rPr>
            </w:pPr>
            <w:r>
              <w:rPr>
                <w:spacing w:val="4"/>
              </w:rPr>
              <w:t xml:space="preserve">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7" w:type="dxa"/>
            <w:tcBorders/>
            <w:tcMar>
              <w:bottom w:w="0" w:type="dxa"/>
            </w:tcMar>
            <w:vAlign w:val="center"/>
          </w:tcPr>
          <w:p>
            <w:pPr>
              <w:pStyle w:val="TableContents"/>
              <w:bidi w:val="0"/>
              <w:spacing w:before="0" w:after="0"/>
              <w:jc w:val="center"/>
              <w:rPr>
                <w:spacing w:val="4"/>
              </w:rPr>
            </w:pPr>
            <w:r>
              <w:rPr>
                <w:spacing w:val="4"/>
              </w:rPr>
              <w:t xml:space="preserve">September 22,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center"/>
              <w:rPr/>
            </w:pPr>
            <w:r>
              <w:rPr>
                <w:spacing w:val="4"/>
              </w:rPr>
              <w:t>/s/ Xiang Li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Xiang 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1" w:type="dxa"/>
            <w:tcBorders/>
            <w:tcMar>
              <w:bottom w:w="0" w:type="dxa"/>
            </w:tcMar>
            <w:vAlign w:val="center"/>
          </w:tcPr>
          <w:p>
            <w:pPr>
              <w:pStyle w:val="TableContents"/>
              <w:bidi w:val="0"/>
              <w:spacing w:before="0" w:after="0"/>
              <w:jc w:val="center"/>
              <w:rPr/>
            </w:pPr>
            <w:r>
              <w:rPr>
                <w:spacing w:val="4"/>
              </w:rPr>
              <w:t>Director and Chief Financial Officer</w:t>
            </w:r>
            <w:r>
              <w:rPr/>
              <w:t xml:space="preserve"> </w:t>
              <w:br/>
            </w:r>
            <w:r>
              <w:rPr>
                <w:i/>
                <w:spacing w:val="4"/>
              </w:rPr>
              <w:t>(Principal Financial and Accounting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7" w:type="dxa"/>
            <w:tcBorders/>
            <w:tcMar>
              <w:bottom w:w="0" w:type="dxa"/>
            </w:tcMar>
            <w:vAlign w:val="center"/>
          </w:tcPr>
          <w:p>
            <w:pPr>
              <w:pStyle w:val="TableContents"/>
              <w:bidi w:val="0"/>
              <w:spacing w:before="0" w:after="0"/>
              <w:jc w:val="center"/>
              <w:rPr/>
            </w:pPr>
            <w:r>
              <w:rPr>
                <w:spacing w:val="4"/>
              </w:rPr>
              <w:t>September 22,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 OF AUTHORIZED REPRESENTATIVE OF THE 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undersigned, the duly authorized representative in the United States of 36Kr Holdings Inc. has signed this registration statement or amendment thereto in New York, United States on September 22, 2026. </w:t>
      </w:r>
    </w:p>
    <w:tbl>
      <w:tblPr>
        <w:tblW w:w="7294" w:type="dxa"/>
        <w:jc w:val="left"/>
        <w:tblInd w:w="1393" w:type="dxa"/>
        <w:tblLayout w:type="fixed"/>
        <w:tblCellMar>
          <w:top w:w="0" w:type="dxa"/>
          <w:left w:w="0" w:type="dxa"/>
          <w:bottom w:w="0" w:type="dxa"/>
          <w:right w:w="0" w:type="dxa"/>
        </w:tblCellMar>
      </w:tblPr>
      <w:tblGrid>
        <w:gridCol w:w="124"/>
        <w:gridCol w:w="109"/>
        <w:gridCol w:w="109"/>
        <w:gridCol w:w="109"/>
        <w:gridCol w:w="668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89" w:type="dxa"/>
            <w:tcBorders/>
            <w:vAlign w:val="center"/>
          </w:tcPr>
          <w:p>
            <w:pPr>
              <w:pStyle w:val="TableContents"/>
              <w:bidi w:val="0"/>
              <w:spacing w:before="0" w:after="283"/>
              <w:jc w:val="left"/>
              <w:rPr>
                <w:spacing w:val="4"/>
              </w:rPr>
            </w:pPr>
            <w:r>
              <w:rPr>
                <w:spacing w:val="4"/>
              </w:rPr>
              <w:t xml:space="preserve">Authorized U.S. Representative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89" w:type="dxa"/>
            <w:tcBorders/>
            <w:vAlign w:val="center"/>
          </w:tcPr>
          <w:p>
            <w:pPr>
              <w:pStyle w:val="TableContents"/>
              <w:bidi w:val="0"/>
              <w:spacing w:before="0" w:after="283"/>
              <w:jc w:val="left"/>
              <w:rPr/>
            </w:pPr>
            <w:r>
              <w:rPr>
                <w:spacing w:val="-4"/>
              </w:rPr>
              <w:t>Cogency Global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89" w:type="dxa"/>
            <w:tcBorders/>
            <w:vAlign w:val="center"/>
          </w:tcPr>
          <w:p>
            <w:pPr>
              <w:pStyle w:val="TableContents"/>
              <w:bidi w:val="0"/>
              <w:spacing w:lineRule="atLeast" w:line="200" w:before="0" w:after="0"/>
              <w:ind w:left="400" w:right="0" w:hanging="0"/>
              <w:jc w:val="left"/>
              <w:rPr>
                <w:spacing w:val="4"/>
              </w:rPr>
            </w:pPr>
            <w:r>
              <w:rPr>
                <w:spacing w:val="4"/>
              </w:rPr>
              <w:t xml:space="preserve">/s/ Colleen A. De Vries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254000" cy="525780"/>
                      <wp:effectExtent l="0" t="0" r="0" b="0"/>
                      <wp:wrapSquare wrapText="right"/>
                      <wp:docPr id="131" name="Frame1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spacing w:val="4"/>
              </w:rPr>
            </w:pPr>
            <w:r>
              <w:rPr>
                <w:spacing w:val="4"/>
              </w:rPr>
              <w:t xml:space="preserve">Name: Colleen A. De Vries </w:t>
            </w:r>
          </w:p>
          <w:p>
            <w:pPr>
              <w:pStyle w:val="TableContents"/>
              <w:bidi w:val="0"/>
              <w:spacing w:lineRule="atLeast" w:line="240" w:before="40" w:after="0"/>
              <w:ind w:left="1080" w:right="0" w:hanging="0"/>
              <w:jc w:val="left"/>
              <w:rPr/>
            </w:pPr>
            <w:r>
              <w:rPr>
                <w:spacing w:val="4"/>
              </w:rPr>
              <w:t>Senior Vice President on behalf of Cogency Global Inc.</w:t>
            </w:r>
            <w:r>
              <w:rPr/>
              <w:t xml:space="preserve"> </w:t>
            </w:r>
            <w:r>
              <mc:AlternateContent>
                <mc:Choice Requires="wps">
                  <w:drawing>
                    <wp:anchor behindDoc="0" distT="25400" distB="0" distL="254000" distR="0" simplePos="0" locked="0" layoutInCell="1" allowOverlap="1" relativeHeight="136">
                      <wp:simplePos x="0" y="0"/>
                      <wp:positionH relativeFrom="column">
                        <wp:align>left</wp:align>
                      </wp:positionH>
                      <wp:positionV relativeFrom="line">
                        <wp:align>top</wp:align>
                      </wp:positionV>
                      <wp:extent cx="4318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4318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4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2" w:name="tm2625538d2_ex5-1.htm"/>
      <w:bookmarkStart w:id="23" w:name="kstm2625538d2_ex51"/>
      <w:bookmarkEnd w:id="22"/>
      <w:bookmarkEnd w:id="23"/>
      <w:r>
        <w:rPr/>
        <w:t> </w:t>
      </w:r>
      <w:r>
        <w:br w:type="page"/>
      </w:r>
    </w:p>
    <w:p>
      <w:pPr>
        <w:pStyle w:val="TextBody"/>
        <w:bidi w:val="0"/>
        <w:jc w:val="right"/>
        <w:rPr>
          <w:b/>
        </w:rPr>
      </w:pPr>
      <w:r>
        <w:rPr>
          <w:b/>
        </w:rPr>
        <w:t>Exhibit 5.1</w:t>
      </w:r>
    </w:p>
    <w:p>
      <w:pPr>
        <w:pStyle w:val="TextBody"/>
        <w:bidi w:val="0"/>
        <w:jc w:val="right"/>
        <w:rPr/>
      </w:pPr>
      <w:r>
        <w:rPr/>
        <w:t> </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65"/>
        <w:gridCol w:w="2855"/>
      </w:tblGrid>
      <w:tr>
        <w:trPr/>
        <w:tc>
          <w:tcPr>
            <w:tcW w:w="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ref</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JVZ/757223-000001/33096634v3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36Kr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B6, Universal Business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10 Jiuxianqiao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People’s Republic of China, 100015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36Kr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36Kr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United States Securities Act of 1933, as amended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relating to securities to be issued and sold by the Company from time to time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US$300,000,000 of any combination, together or separately, of the following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a)</w:t>
            </w:r>
          </w:p>
        </w:tc>
        <w:tc>
          <w:tcPr>
            <w:tcW w:w="9998" w:type="dxa"/>
            <w:tcBorders/>
            <w:vAlign w:val="center"/>
          </w:tcPr>
          <w:p>
            <w:pPr>
              <w:pStyle w:val="TableContents"/>
              <w:bidi w:val="0"/>
              <w:spacing w:before="0" w:after="283"/>
              <w:jc w:val="both"/>
              <w:rPr/>
            </w:pPr>
            <w:r>
              <w:rPr/>
              <w:t>Class A ordinary shares of the Company of a par value of US$0.0001 each (the “</w:t>
            </w:r>
            <w:r>
              <w:rPr>
                <w:b/>
              </w:rPr>
              <w:t>Shares</w:t>
            </w:r>
            <w:r>
              <w:rPr/>
              <w:t>”), including Shares represented by American depositary shares (the "</w:t>
            </w:r>
            <w:r>
              <w:rPr>
                <w:b/>
              </w:rPr>
              <w:t>ADSs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t>certain preferred shares of the Company with a par value of US$0.0001 each (the “</w:t>
            </w:r>
            <w:r>
              <w:rPr>
                <w:b/>
              </w:rPr>
              <w:t>Preferred 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c)</w:t>
            </w:r>
          </w:p>
        </w:tc>
        <w:tc>
          <w:tcPr>
            <w:tcW w:w="10014" w:type="dxa"/>
            <w:tcBorders/>
            <w:vAlign w:val="center"/>
          </w:tcPr>
          <w:p>
            <w:pPr>
              <w:pStyle w:val="TableContents"/>
              <w:bidi w:val="0"/>
              <w:spacing w:before="0" w:after="283"/>
              <w:jc w:val="both"/>
              <w:rPr/>
            </w:pPr>
            <w:r>
              <w:rPr/>
              <w:t>warrants to subscribe for Shares and Preferred Shares of the Company (the “</w:t>
            </w:r>
            <w:r>
              <w:rPr>
                <w:b/>
              </w:rPr>
              <w:t>Warrants</w:t>
            </w:r>
            <w:r>
              <w:rPr/>
              <w:t>”) to be issued under warrant agreements to be entered into between the Company and the warrant agent for such Warrants thereunder (the “</w:t>
            </w:r>
            <w:r>
              <w:rPr>
                <w:b/>
              </w:rPr>
              <w:t>Warrant Agreements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d)</w:t>
            </w:r>
          </w:p>
        </w:tc>
        <w:tc>
          <w:tcPr>
            <w:tcW w:w="10003" w:type="dxa"/>
            <w:tcBorders/>
            <w:vAlign w:val="center"/>
          </w:tcPr>
          <w:p>
            <w:pPr>
              <w:pStyle w:val="TableContents"/>
              <w:bidi w:val="0"/>
              <w:spacing w:before="0" w:after="283"/>
              <w:jc w:val="both"/>
              <w:rPr/>
            </w:pPr>
            <w:r>
              <w:rPr/>
              <w:t>subscription rights to purchase Ordinary Shares in the Company ("</w:t>
            </w:r>
            <w:r>
              <w:rPr>
                <w:b/>
              </w:rPr>
              <w:t>Subscription Rights</w:t>
            </w:r>
            <w:r>
              <w:rPr/>
              <w:t>") to be issued under standby underwriting agreements to be entered into among the Company and one or more underwriters for such Rights thereunder (the "</w:t>
            </w:r>
            <w:r>
              <w:rPr>
                <w:b/>
              </w:rPr>
              <w:t>Subscription Rights Agreements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e)</w:t>
            </w:r>
          </w:p>
        </w:tc>
        <w:tc>
          <w:tcPr>
            <w:tcW w:w="10018" w:type="dxa"/>
            <w:tcBorders/>
            <w:vAlign w:val="center"/>
          </w:tcPr>
          <w:p>
            <w:pPr>
              <w:pStyle w:val="TableContents"/>
              <w:bidi w:val="0"/>
              <w:spacing w:before="0" w:after="283"/>
              <w:jc w:val="both"/>
              <w:rPr/>
            </w:pPr>
            <w:r>
              <w:rPr/>
              <w:t>units comprising of one or more of the ADSs, Shares, Preferred Shares, Warrants or Subscription Rights in any combination (the “</w:t>
            </w:r>
            <w:r>
              <w:rPr>
                <w:b/>
              </w:rPr>
              <w:t>Units</w:t>
            </w:r>
            <w:r>
              <w:rPr/>
              <w:t>”) to be issued under unit agreements to be entered into between the Company and the unitholder for such Units thereunder (the “</w:t>
            </w:r>
            <w:r>
              <w:rPr>
                <w:b/>
              </w:rPr>
              <w:t>Unit Agreements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8.1 and 23.2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594"/>
        <w:gridCol w:w="9450"/>
      </w:tblGrid>
      <w:tr>
        <w:trPr/>
        <w:tc>
          <w:tcPr>
            <w:tcW w:w="1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b/>
              </w:rPr>
            </w:pPr>
            <w:r>
              <w:rPr>
                <w:b/>
              </w:rPr>
              <w:t>1</w:t>
            </w:r>
          </w:p>
        </w:tc>
        <w:tc>
          <w:tcPr>
            <w:tcW w:w="9450" w:type="dxa"/>
            <w:tcBorders/>
            <w:vAlign w:val="center"/>
          </w:tcPr>
          <w:p>
            <w:pPr>
              <w:pStyle w:val="TableContents"/>
              <w:bidi w:val="0"/>
              <w:spacing w:before="0" w:after="283"/>
              <w:jc w:val="both"/>
              <w:rPr>
                <w:b/>
              </w:rPr>
            </w:pPr>
            <w:r>
              <w:rPr>
                <w:b/>
              </w:rPr>
              <w:t>Documents Reviewed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The certificate of incorporation of the Company dated 3 December 2018 issued by the Registrar of Companies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The fourth amended and restated memorandum and articles of association adopted pursuant to a special resolution passed on 8 September 2025 (the "</w:t>
            </w:r>
            <w:r>
              <w:rPr>
                <w:b/>
              </w:rPr>
              <w:t>Memorandum and Articles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The minutes (the "</w:t>
            </w:r>
            <w:r>
              <w:rPr>
                <w:b/>
              </w:rPr>
              <w:t>Minutes</w:t>
            </w:r>
            <w:r>
              <w:rPr/>
              <w:t>") of the meeting of the board of directors of the Company held on 23 September 2025 (the "</w:t>
            </w:r>
            <w:r>
              <w:rPr>
                <w:b/>
              </w:rPr>
              <w:t>Meeting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both"/>
              <w:rPr/>
            </w:pPr>
            <w:r>
              <w:rPr/>
              <w:t>A certificate of good standing with respect to the Company issued by the Registrar of Companies dated 18 September 2026 (the "</w:t>
            </w:r>
            <w:r>
              <w:rPr>
                <w:b/>
              </w:rPr>
              <w:t>Certificate of Good Standing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8" w:type="dxa"/>
            <w:tcBorders/>
            <w:vAlign w:val="center"/>
          </w:tcPr>
          <w:p>
            <w:pPr>
              <w:pStyle w:val="TableContents"/>
              <w:bidi w:val="0"/>
              <w:spacing w:before="0" w:after="283"/>
              <w:jc w:val="both"/>
              <w:rPr/>
            </w:pPr>
            <w:r>
              <w:rPr/>
              <w:t>A certificate from a director of the Company a copy of which is attached to this opinion letter (the "</w:t>
            </w:r>
            <w:r>
              <w:rPr>
                <w:b/>
              </w:rPr>
              <w:t>Director's Certificate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082"/>
        <w:gridCol w:w="8995"/>
      </w:tblGrid>
      <w:tr>
        <w:trPr/>
        <w:tc>
          <w:tcPr>
            <w:tcW w:w="12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pPr>
            <w:r>
              <w:rPr/>
              <w:t>1.6</w:t>
            </w:r>
          </w:p>
        </w:tc>
        <w:tc>
          <w:tcPr>
            <w:tcW w:w="8995"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941"/>
        <w:gridCol w:w="9009"/>
      </w:tblGrid>
      <w:tr>
        <w:trPr/>
        <w:tc>
          <w:tcPr>
            <w:tcW w:w="25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b/>
              </w:rPr>
            </w:pPr>
            <w:r>
              <w:rPr>
                <w:b/>
              </w:rPr>
              <w:t>2</w:t>
            </w:r>
          </w:p>
        </w:tc>
        <w:tc>
          <w:tcPr>
            <w:tcW w:w="9009" w:type="dxa"/>
            <w:tcBorders/>
            <w:vAlign w:val="center"/>
          </w:tcPr>
          <w:p>
            <w:pPr>
              <w:pStyle w:val="TableContents"/>
              <w:bidi w:val="0"/>
              <w:spacing w:before="0" w:after="283"/>
              <w:jc w:val="both"/>
              <w:rPr>
                <w:b/>
              </w:rPr>
            </w:pPr>
            <w:r>
              <w:rPr>
                <w:b/>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Copies of documents, conformed copies or drafts of documents provided to us are true and complete copies of, or in the final forms of, the originals.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6"/>
        <w:gridCol w:w="9405"/>
      </w:tblGrid>
      <w:tr>
        <w:trPr/>
        <w:tc>
          <w:tcPr>
            <w:tcW w:w="8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pPr>
            <w:r>
              <w:rPr/>
              <w:t>2.2</w:t>
            </w:r>
          </w:p>
        </w:tc>
        <w:tc>
          <w:tcPr>
            <w:tcW w:w="9405" w:type="dxa"/>
            <w:tcBorders/>
            <w:vAlign w:val="center"/>
          </w:tcPr>
          <w:p>
            <w:pPr>
              <w:pStyle w:val="TableContents"/>
              <w:bidi w:val="0"/>
              <w:spacing w:before="0" w:after="283"/>
              <w:jc w:val="both"/>
              <w:rPr/>
            </w:pPr>
            <w:r>
              <w:rPr/>
              <w:t>All signatures, initials and seals are genuine.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There is no contractual or other prohibition or restriction (other than as arising under Cayman Islands law) binding on the Company prohibiting or restricting it from offering, selling or issuing the Securities, entering into and performing its obligations under the Registration Statement and duly authorised, executed and delivered Securities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Company will have sufficient Shares and Preferred Shares authorised for issue under the Memorandum and Articles at the time of issuance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8" w:type="dxa"/>
            <w:tcBorders/>
            <w:vAlign w:val="center"/>
          </w:tcPr>
          <w:p>
            <w:pPr>
              <w:pStyle w:val="TableContents"/>
              <w:bidi w:val="0"/>
              <w:spacing w:before="0" w:after="283"/>
              <w:jc w:val="both"/>
              <w:rPr/>
            </w:pPr>
            <w:r>
              <w:rPr/>
              <w:t>The Warrants and the Warrant Agreements, the Subscription Rights and the Subscription Rights Agreements, and the Units and the Unit Agreements (together, the "</w:t>
            </w:r>
            <w:r>
              <w:rPr>
                <w:b/>
              </w:rPr>
              <w:t>Securities Documents</w:t>
            </w:r>
            <w:r>
              <w:rPr/>
              <w:t>") will be authorised and duly executed and unconditionally delivered by or on behalf of all relevant parties in accordance with all relevant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The Securities Documents are, or will be, legal, valid, binding and enforceable against all relevant parties in accordance with their terms under the laws of the State of New York and all other relevant laws (other than, with respect to the Company,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9848" w:type="dxa"/>
            <w:tcBorders/>
            <w:vAlign w:val="center"/>
          </w:tcPr>
          <w:p>
            <w:pPr>
              <w:pStyle w:val="TableContents"/>
              <w:bidi w:val="0"/>
              <w:spacing w:before="0" w:after="283"/>
              <w:jc w:val="both"/>
              <w:rPr/>
            </w:pPr>
            <w:r>
              <w:rPr/>
              <w:t>The choice of the laws of the State of New York as the governing law of the Securities Documents,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2.8</w:t>
            </w:r>
          </w:p>
        </w:tc>
        <w:tc>
          <w:tcPr>
            <w:tcW w:w="9848" w:type="dxa"/>
            <w:tcBorders/>
            <w:vAlign w:val="center"/>
          </w:tcPr>
          <w:p>
            <w:pPr>
              <w:pStyle w:val="TableContents"/>
              <w:bidi w:val="0"/>
              <w:spacing w:before="0" w:after="283"/>
              <w:jc w:val="both"/>
              <w:rPr/>
            </w:pPr>
            <w:r>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Securities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9848" w:type="dxa"/>
            <w:tcBorders/>
            <w:vAlign w:val="center"/>
          </w:tcPr>
          <w:p>
            <w:pPr>
              <w:pStyle w:val="TableContents"/>
              <w:bidi w:val="0"/>
              <w:spacing w:before="0" w:after="283"/>
              <w:jc w:val="both"/>
              <w:rPr/>
            </w:pPr>
            <w:r>
              <w:rPr/>
              <w:t>The Warrants, the Subscription Rights and the Units will respectively be issued and authenticated as required in accordance with the provisions of a duly authorised, executed and delivered Warrant Agreement, Subscription Rights Agreement and Unit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2.10</w:t>
            </w:r>
          </w:p>
        </w:tc>
        <w:tc>
          <w:tcPr>
            <w:tcW w:w="9728" w:type="dxa"/>
            <w:tcBorders/>
            <w:vAlign w:val="center"/>
          </w:tcPr>
          <w:p>
            <w:pPr>
              <w:pStyle w:val="TableContents"/>
              <w:bidi w:val="0"/>
              <w:spacing w:before="0" w:after="283"/>
              <w:jc w:val="both"/>
              <w:rPr/>
            </w:pPr>
            <w:r>
              <w:rPr/>
              <w:t>The Securities Documents will be, or have been, duly executed and delivered by an authorised person of the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No monies paid to or for the account of any party under the Securities Documents or any property received or disposed of by any party to the Securities Documents in each case in connection with the Securities Documents or the consummation of the transactions contemplated thereby represent or will represent proceeds of criminal conduct or criminal property or terrorist property (as defined in the Proceeds of Crime Act (As Revised) and the Terrorism Act (As Revised),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2.12</w:t>
            </w:r>
          </w:p>
        </w:tc>
        <w:tc>
          <w:tcPr>
            <w:tcW w:w="9728" w:type="dxa"/>
            <w:tcBorders/>
            <w:vAlign w:val="center"/>
          </w:tcPr>
          <w:p>
            <w:pPr>
              <w:pStyle w:val="TableContents"/>
              <w:bidi w:val="0"/>
              <w:spacing w:before="0" w:after="283"/>
              <w:jc w:val="both"/>
              <w:rPr/>
            </w:pPr>
            <w:r>
              <w:rPr/>
              <w:t>There is nothing contained in the minute book or corporate records of the Company (which we have not inspected)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2.13</w:t>
            </w:r>
          </w:p>
        </w:tc>
        <w:tc>
          <w:tcPr>
            <w:tcW w:w="9728" w:type="dxa"/>
            <w:tcBorders/>
            <w:vAlign w:val="center"/>
          </w:tcPr>
          <w:p>
            <w:pPr>
              <w:pStyle w:val="TableContents"/>
              <w:bidi w:val="0"/>
              <w:spacing w:before="0" w:after="283"/>
              <w:jc w:val="both"/>
              <w:rPr/>
            </w:pPr>
            <w:r>
              <w:rPr/>
              <w:t>There is nothing under any law (other than the law of the Cayman Islands)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2.14</w:t>
            </w:r>
          </w:p>
        </w:tc>
        <w:tc>
          <w:tcPr>
            <w:tcW w:w="9728" w:type="dxa"/>
            <w:tcBorders/>
            <w:vAlign w:val="center"/>
          </w:tcPr>
          <w:p>
            <w:pPr>
              <w:pStyle w:val="TableContents"/>
              <w:bidi w:val="0"/>
              <w:spacing w:before="0" w:after="283"/>
              <w:jc w:val="both"/>
              <w:rPr/>
            </w:pPr>
            <w:r>
              <w:rPr/>
              <w:t>The offer, sale, and issue of Securities under and pursuant to the Registration Statement will be of commercial benefit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2.15</w:t>
            </w:r>
          </w:p>
        </w:tc>
        <w:tc>
          <w:tcPr>
            <w:tcW w:w="9728" w:type="dxa"/>
            <w:tcBorders/>
            <w:vAlign w:val="center"/>
          </w:tcPr>
          <w:p>
            <w:pPr>
              <w:pStyle w:val="TableContents"/>
              <w:bidi w:val="0"/>
              <w:spacing w:before="0" w:after="283"/>
              <w:jc w:val="both"/>
              <w:rPr/>
            </w:pPr>
            <w:r>
              <w:rPr/>
              <w:t>No invitation has been or will be made by or on behalf of the Company to the public in the Cayman Islands to subscribe for any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2.16</w:t>
            </w:r>
          </w:p>
        </w:tc>
        <w:tc>
          <w:tcPr>
            <w:tcW w:w="9728" w:type="dxa"/>
            <w:tcBorders/>
            <w:vAlign w:val="center"/>
          </w:tcPr>
          <w:p>
            <w:pPr>
              <w:pStyle w:val="TableContents"/>
              <w:bidi w:val="0"/>
              <w:spacing w:before="0" w:after="283"/>
              <w:jc w:val="both"/>
              <w:rPr/>
            </w:pPr>
            <w:r>
              <w:rPr/>
              <w:t>The Company will receive money or money's worth in consideration for the issue of the Shares and the Preferred Shares, and none of the Shares or the Preferred Shares will be issued for less than their par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1376"/>
        <w:gridCol w:w="8456"/>
      </w:tblGrid>
      <w:tr>
        <w:trPr/>
        <w:tc>
          <w:tcPr>
            <w:tcW w:w="37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b/>
              </w:rPr>
            </w:pPr>
            <w:r>
              <w:rPr>
                <w:b/>
              </w:rPr>
              <w:t>3</w:t>
            </w:r>
          </w:p>
        </w:tc>
        <w:tc>
          <w:tcPr>
            <w:tcW w:w="8456" w:type="dxa"/>
            <w:tcBorders/>
            <w:vAlign w:val="center"/>
          </w:tcPr>
          <w:p>
            <w:pPr>
              <w:pStyle w:val="TableContents"/>
              <w:bidi w:val="0"/>
              <w:spacing w:before="0" w:after="283"/>
              <w:jc w:val="both"/>
              <w:rPr>
                <w:b/>
              </w:rPr>
            </w:pPr>
            <w:r>
              <w:rPr>
                <w:b/>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With respect to the Shares, including those represented by ADSs, and the Preferred Shares, when (i) the Board has taken all necessary corporate action to approve the issue thereof, the terms of the offering thereof and related matters; (ii) the issue of such Shares or Preferred Shares has been recorded in the Company’s register of members (shareholders); and (iii) the subscription price of such Shares or Preferred Shares, (being not less than the par value of the Shares or Preferred Shares, as the case may be) has been fully paid in cash or other consideration approved by the Board, the Shares or Preferred Shares will be duly authorised,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and (iii) the certificates representing the Warrants have been duly executed, countersigned, registered and delivered in accordance with the Warrant Agreement relating to the Warrants and the applicable definitive purchase, underwriting or similar agreement approved by the Board upon payment of the consideration therefor provided therein, the Warrants will be duly authorised, executed, issued and delivered, and constitute legal and binding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With respect to each issue of the Subscription Rights, when (i) the Board has taken all necessary corporate action to approve the creation and terms of the Subscription Rights and to approve the issue thereof, the terms of the offering thereof and related matters; (ii) a Subscription Rights Agreement relating to the Subscription Rights and the Subscription Rights shall have been authorised and duly executed and delivered by and on behalf of the Company and all the relevant parties thereunder in accordance with all relevant laws; and (iii) the certificates representing the Rights have been duly executed, countersigned, registered and delivered in accordance with the Subscription Rights Agreement relating to the Units and the applicable definitive purchase, underwriting or similar agreement approved by the Board upon payment of the consideration therefor provided therein, the Subscription Rights will be duly authorised, legal and binding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With respect to each issue of the Units, when (i) the Board has taken all necessary corporate action to approve the creation and terms of the Units and to approve the issue thereof, the terms of the offering thereof and related matters; (ii) a Unit Agreement relating to the Units and the Units shall have been authorised and duly executed and delivered by and on behalf of the Company and all the relevant parties thereunder in accordance with all relevant laws; and (iii) when such Units issued thereunder have been duly executed and delivered on behalf of the Company and authenticated in the manner set forth in the Unit Agreement relating to such issue of Units and delivered against due payment therefor pursuant to, and in accordance with, the terms of the Registration Statement and any relevant prospectus supplement, such Units issued pursuant to the Unit Agreement will be duly executed, issued and delivered, and constitute legal and binding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9848" w:type="dxa"/>
            <w:tcBorders/>
            <w:vAlign w:val="center"/>
          </w:tcPr>
          <w:p>
            <w:pPr>
              <w:pStyle w:val="TableContents"/>
              <w:bidi w:val="0"/>
              <w:spacing w:before="0" w:after="283"/>
              <w:jc w:val="both"/>
              <w:rPr/>
            </w:pPr>
            <w:r>
              <w:rPr/>
              <w:t>The statements under the captions "Taxation", “Enforceability of Civil Liabilities” in the prospectus forming part of the Registration Statement are accurate in so far as such statements are summaries of or relate to Cayman Islands law, and such statements constitute our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888"/>
        <w:gridCol w:w="9076"/>
      </w:tblGrid>
      <w:tr>
        <w:trPr/>
        <w:tc>
          <w:tcPr>
            <w:tcW w:w="24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b/>
              </w:rPr>
            </w:pPr>
            <w:r>
              <w:rPr>
                <w:b/>
              </w:rPr>
              <w:t>4</w:t>
            </w:r>
          </w:p>
        </w:tc>
        <w:tc>
          <w:tcPr>
            <w:tcW w:w="9076" w:type="dxa"/>
            <w:tcBorders/>
            <w:vAlign w:val="center"/>
          </w:tcPr>
          <w:p>
            <w:pPr>
              <w:pStyle w:val="TableContents"/>
              <w:bidi w:val="0"/>
              <w:spacing w:before="0" w:after="283"/>
              <w:jc w:val="both"/>
              <w:rPr>
                <w:b/>
              </w:rPr>
            </w:pPr>
            <w:r>
              <w:rPr>
                <w:b/>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To maintain the Company in good standing with the Registrar of Companies under the laws of the Cayman Islands, annual filing fees must be paid and returns made to the Registrar of Companies within the time frame prescribed by law.</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The obligations assumed by the Company under the Warrant Agreements, the Subscription Rights Agreements and the Units Agreements will not necessarily be enforceable in all circumstances in accordance with their terms. In particular: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enforcement may be limited by bankruptcy, insolvency, liquidation, reorganisation, readjustment of debts or moratorium or other laws of general application relating to, protecting or affecting the rights of creditors and/or contributories;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 xml:space="preserve">enforcement may be limited by general principles of equity. For example, equitable remedies such as specific performance may not be available, </w:t>
            </w:r>
            <w:r>
              <w:rPr>
                <w:i/>
              </w:rPr>
              <w:t>inter alia</w:t>
            </w:r>
            <w:r>
              <w:rPr/>
              <w:t>, where damages are considered to be an adequate remedy;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some claims may become barred under relevant statutes of limitation or may be or become subject to defences of set off, counterclaim, estoppel and similar defences;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where obligations are to be performed in a jurisdiction outside the Cayman Islands, they may not be enforceable in the Cayman Islands to the extent that performance would be illegal under the laws of that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pPr>
            <w:r>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09"/>
        <w:gridCol w:w="9733"/>
      </w:tblGrid>
      <w:tr>
        <w:trPr/>
        <w:tc>
          <w:tcPr>
            <w:tcW w:w="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(f)</w:t>
            </w:r>
          </w:p>
        </w:tc>
        <w:tc>
          <w:tcPr>
            <w:tcW w:w="9733" w:type="dxa"/>
            <w:tcBorders/>
            <w:vAlign w:val="center"/>
          </w:tcPr>
          <w:p>
            <w:pPr>
              <w:pStyle w:val="TableContents"/>
              <w:bidi w:val="0"/>
              <w:spacing w:before="0" w:after="283"/>
              <w:jc w:val="both"/>
              <w:rPr/>
            </w:pPr>
            <w:r>
              <w:rPr/>
              <w:t>arrangements that constitute penalties will not be enforceable;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(g)</w:t>
            </w:r>
          </w:p>
        </w:tc>
        <w:tc>
          <w:tcPr>
            <w:tcW w:w="9912" w:type="dxa"/>
            <w:tcBorders/>
            <w:vAlign w:val="center"/>
          </w:tcPr>
          <w:p>
            <w:pPr>
              <w:pStyle w:val="TableContents"/>
              <w:bidi w:val="0"/>
              <w:spacing w:before="0" w:after="283"/>
              <w:jc w:val="both"/>
              <w:rPr/>
            </w:pPr>
            <w:r>
              <w:rPr/>
              <w:t>enforcement may be prevented by reason of fraud, coercion, duress, undue influence, misrepresentation, public policy or mistake or limited by the doctrine of frustration of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(h)</w:t>
            </w:r>
          </w:p>
        </w:tc>
        <w:tc>
          <w:tcPr>
            <w:tcW w:w="9905" w:type="dxa"/>
            <w:tcBorders/>
            <w:vAlign w:val="center"/>
          </w:tcPr>
          <w:p>
            <w:pPr>
              <w:pStyle w:val="TableContents"/>
              <w:bidi w:val="0"/>
              <w:spacing w:before="0" w:after="283"/>
              <w:jc w:val="both"/>
              <w:rPr/>
            </w:pPr>
            <w:r>
              <w:rPr/>
              <w:t>provisions imposing confidentiality obligations may be overridden by compulsion of applicable law or the requirements of legal and/or regulatory process;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78" w:type="dxa"/>
            <w:tcBorders/>
            <w:vAlign w:val="center"/>
          </w:tcPr>
          <w:p>
            <w:pPr>
              <w:pStyle w:val="TableContents"/>
              <w:bidi w:val="0"/>
              <w:spacing w:before="0" w:after="283"/>
              <w:jc w:val="both"/>
              <w:rPr/>
            </w:pPr>
            <w:r>
              <w:rPr/>
              <w:t>the courts of the Cayman Islands may decline to exercise jurisdiction in relation to substantive proceedings brought in matters where they determine that such proceedings may be tried in a more appropriate forum;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(j)</w:t>
            </w:r>
          </w:p>
        </w:tc>
        <w:tc>
          <w:tcPr>
            <w:tcW w:w="9988" w:type="dxa"/>
            <w:tcBorders/>
            <w:vAlign w:val="center"/>
          </w:tcPr>
          <w:p>
            <w:pPr>
              <w:pStyle w:val="TableContents"/>
              <w:bidi w:val="0"/>
              <w:spacing w:before="0" w:after="283"/>
              <w:jc w:val="both"/>
              <w:rPr/>
            </w:pPr>
            <w:r>
              <w:rPr/>
              <w:t>we reserve our opinion as to the enforceability of the relevant provisions of the documents to the extent that they purport to grant exclusive jurisdiction as there may be circumstances in which the courts of the Cayman Islands would accept jurisdiction notwithstanding such provisions;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(k)</w:t>
            </w:r>
          </w:p>
        </w:tc>
        <w:tc>
          <w:tcPr>
            <w:tcW w:w="9943" w:type="dxa"/>
            <w:tcBorders/>
            <w:vAlign w:val="center"/>
          </w:tcPr>
          <w:p>
            <w:pPr>
              <w:pStyle w:val="TableContents"/>
              <w:bidi w:val="0"/>
              <w:spacing w:before="0" w:after="283"/>
              <w:jc w:val="both"/>
              <w:rPr/>
            </w:pPr>
            <w:r>
              <w:rPr/>
              <w:t>a company cannot, by agreement or in its articles of association, restrict the exercise of a statutory power and there is doubt as to the enforceability of any provision in Warrant Agreements, the Subscription Rights Agreements and the Unit Agreements whereby the Company covenants to restrict the exercise of powers specifically given to it under the Companies Act (As Revised) of the Cayman Islands (the "</w:t>
            </w:r>
            <w:r>
              <w:rPr>
                <w:b/>
              </w:rPr>
              <w:t>Companies Act</w:t>
            </w:r>
            <w:r>
              <w:rPr/>
              <w:t>"), including, without limitation, the power to increase its authorised share capital, amend its memorandum and articles of association or present a petition to a Cayman Islands court for an order to wind up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(l)</w:t>
            </w:r>
          </w:p>
        </w:tc>
        <w:tc>
          <w:tcPr>
            <w:tcW w:w="9996" w:type="dxa"/>
            <w:tcBorders/>
            <w:vAlign w:val="center"/>
          </w:tcPr>
          <w:p>
            <w:pPr>
              <w:pStyle w:val="TableContents"/>
              <w:bidi w:val="0"/>
              <w:spacing w:before="0" w:after="283"/>
              <w:jc w:val="both"/>
              <w:rPr/>
            </w:pPr>
            <w:r>
              <w:rPr/>
              <w:t>enforcement or performance of any provision in the documents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(the "</w:t>
            </w:r>
            <w:r>
              <w:rPr>
                <w:b/>
              </w:rPr>
              <w:t>BOT Act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We express no opinion as to the meaning, validity or effect of any references to foreign (i.e. non-Cayman Islands) statutes, rules, regulations, codes, judicial authority or any other promulgations and any references to them in the Securities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We have not reviewed the final form of any of the Securities Documents, and our opinions are qualified accordingly.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We reserve our opinion as to the extent to which the courts of the Cayman Islands would, in the event of any relevant illegality or invalidity, sever the relevant provisions of the Securities Documents and enforce the remainder or the transaction of which such provisions form a part, notwithstanding any express provisions in this regard.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Under the Companies Act, the register of members of a Cayman Islands company is by statute regarded as prima facie evidence of any matters which the Companies Act directs or authorises to be inserted in it.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4.7</w:t>
            </w:r>
          </w:p>
        </w:tc>
        <w:tc>
          <w:tcPr>
            <w:tcW w:w="9848" w:type="dxa"/>
            <w:tcBorders/>
            <w:vAlign w:val="center"/>
          </w:tcPr>
          <w:p>
            <w:pPr>
              <w:pStyle w:val="TableContents"/>
              <w:bidi w:val="0"/>
              <w:spacing w:before="0" w:after="283"/>
              <w:jc w:val="both"/>
              <w:rPr/>
            </w:pPr>
            <w:r>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view as to the commercial terms of the Securities Documents or whether such terms represent the intentions of the parties and make no comment with regard to warranties or representations that may be made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in this opinion letter are strictly limited to the matters contained in the opinions section above and do not extend to any other matters. We have not been asked to review and we therefore have not reviewed any of the ancillary documents relating to the Securities Documents and express no opinion or observation upon the terms of any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tbl>
      <w:tblPr>
        <w:tblW w:w="3380" w:type="dxa"/>
        <w:jc w:val="left"/>
        <w:tblInd w:w="0" w:type="dxa"/>
        <w:tblLayout w:type="fixed"/>
        <w:tblCellMar>
          <w:top w:w="0" w:type="dxa"/>
          <w:left w:w="0" w:type="dxa"/>
          <w:bottom w:w="28" w:type="dxa"/>
          <w:right w:w="0" w:type="dxa"/>
        </w:tblCellMar>
      </w:tblPr>
      <w:tblGrid>
        <w:gridCol w:w="3305"/>
        <w:gridCol w:w="75"/>
      </w:tblGrid>
      <w:tr>
        <w:trPr/>
        <w:tc>
          <w:tcPr>
            <w:tcW w:w="33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95"/>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September 2026</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365"/>
        <w:gridCol w:w="3665"/>
      </w:tblGrid>
      <w:tr>
        <w:trPr/>
        <w:tc>
          <w:tcPr>
            <w:tcW w:w="365" w:type="dxa"/>
            <w:tcBorders/>
            <w:vAlign w:val="center"/>
          </w:tcPr>
          <w:p>
            <w:pPr>
              <w:pStyle w:val="TableContents"/>
              <w:bidi w:val="0"/>
              <w:spacing w:before="0" w:after="283"/>
              <w:jc w:val="left"/>
              <w:rPr/>
            </w:pPr>
            <w:r>
              <w:rPr/>
              <w:t>To:</w:t>
            </w:r>
          </w:p>
        </w:tc>
        <w:tc>
          <w:tcPr>
            <w:tcW w:w="3665" w:type="dxa"/>
            <w:tcBorders/>
            <w:vAlign w:val="center"/>
          </w:tcPr>
          <w:p>
            <w:pPr>
              <w:pStyle w:val="TableContents"/>
              <w:bidi w:val="0"/>
              <w:spacing w:before="0" w:after="283"/>
              <w:jc w:val="both"/>
              <w:rPr/>
            </w:pPr>
            <w:r>
              <w:rPr/>
              <w:t>Maples and Calder (Hong Kong) LLP</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26th Floor, Central Plaza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Harbour Road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Wanchai,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36Kr Holdings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being a director of the Company, am aware that you are being asked to provide a legal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in relation to certain aspects of Cayman Islands law. Capitalised terms used in this certificate have the meaning given to them in the Opinion. I hereby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79"/>
        <w:gridCol w:w="9978"/>
      </w:tblGrid>
      <w:tr>
        <w:trPr/>
        <w:tc>
          <w:tcPr>
            <w:tcW w:w="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b/>
              </w:rPr>
            </w:pPr>
            <w:r>
              <w:rPr>
                <w:b/>
              </w:rPr>
              <w:t>1</w:t>
            </w:r>
          </w:p>
        </w:tc>
        <w:tc>
          <w:tcPr>
            <w:tcW w:w="9978" w:type="dxa"/>
            <w:tcBorders/>
            <w:vAlign w:val="center"/>
          </w:tcPr>
          <w:p>
            <w:pPr>
              <w:pStyle w:val="TableContents"/>
              <w:bidi w:val="0"/>
              <w:spacing w:before="0" w:after="283"/>
              <w:jc w:val="both"/>
              <w:rPr/>
            </w:pPr>
            <w:r>
              <w:rPr/>
              <w:t>The Memorandum and Articles remain in full force and effect and are unamended.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2</w:t>
            </w:r>
          </w:p>
        </w:tc>
        <w:tc>
          <w:tcPr>
            <w:tcW w:w="10028" w:type="dxa"/>
            <w:tcBorders/>
            <w:vAlign w:val="center"/>
          </w:tcPr>
          <w:p>
            <w:pPr>
              <w:pStyle w:val="TableContents"/>
              <w:bidi w:val="0"/>
              <w:spacing w:before="0" w:after="283"/>
              <w:jc w:val="both"/>
              <w:rPr/>
            </w:pPr>
            <w:r>
              <w:rPr/>
              <w:t>The Minutes are a true and correct record of the proceedings of the Meeting, which was duly convened and held, and at which a quorum was present throughout, in each case, in the manner prescribed in the Memorandum and Articles. The resolutions set out in the Minutes were duly passed in the manner prescribed in the Memorandum and Articles (including, without limitation, with respect to the disclosure of interests (if any) by the directors of the Company) and have not been amended, varied or revoked in any respect.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3</w:t>
            </w:r>
          </w:p>
        </w:tc>
        <w:tc>
          <w:tcPr>
            <w:tcW w:w="10028" w:type="dxa"/>
            <w:tcBorders/>
            <w:vAlign w:val="center"/>
          </w:tcPr>
          <w:p>
            <w:pPr>
              <w:pStyle w:val="TableContents"/>
              <w:bidi w:val="0"/>
              <w:spacing w:before="0" w:after="283"/>
              <w:jc w:val="both"/>
              <w:rPr/>
            </w:pPr>
            <w:r>
              <w:rPr/>
              <w:t xml:space="preserve">The shareholders of the Company (the </w:t>
            </w:r>
            <w:r>
              <w:rPr>
                <w:b/>
              </w:rPr>
              <w:t>"Shareholders</w:t>
            </w:r>
            <w:r>
              <w:rPr/>
              <w:t>") have not restricted or limited the powers of the directors of the Company (the "</w:t>
            </w:r>
            <w:r>
              <w:rPr>
                <w:b/>
              </w:rPr>
              <w:t>Directors</w:t>
            </w:r>
            <w:r>
              <w:rPr/>
              <w:t>") in any way and there is no contractual or other prohibition (other than as arising under Cayman Islands law) binding on the Company prohibiting it from issuing and allotting the Shares or otherwise performing its obligations under the Registration Statement or the Securities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4</w:t>
            </w:r>
          </w:p>
        </w:tc>
        <w:tc>
          <w:tcPr>
            <w:tcW w:w="10028" w:type="dxa"/>
            <w:tcBorders/>
            <w:vAlign w:val="center"/>
          </w:tcPr>
          <w:p>
            <w:pPr>
              <w:pStyle w:val="TableContents"/>
              <w:bidi w:val="0"/>
              <w:spacing w:before="0" w:after="283"/>
              <w:jc w:val="both"/>
              <w:rPr/>
            </w:pPr>
            <w:r>
              <w:rPr/>
              <w:t>Each Director considers the transactions contemplated by the Registration Statement and the Securities Documents to be of commercial benefit to the Company and has acted bona fide in the best interests of the Company, and for a proper purpose of the Company in relation to the transactions the subject of the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5</w:t>
            </w:r>
          </w:p>
        </w:tc>
        <w:tc>
          <w:tcPr>
            <w:tcW w:w="10028" w:type="dxa"/>
            <w:tcBorders/>
            <w:vAlign w:val="center"/>
          </w:tcPr>
          <w:p>
            <w:pPr>
              <w:pStyle w:val="TableContents"/>
              <w:bidi w:val="0"/>
              <w:spacing w:before="0" w:after="283"/>
              <w:jc w:val="both"/>
              <w:rPr/>
            </w:pPr>
            <w:r>
              <w:rPr/>
              <w:t>The authorised share capital of the Company is US$100,000,000 divided into 1,000,000,000,000 ordinary shares of par value of US$0.0001 each, comprising (a) 960,783,460,000 Class A Ordinary Shares of par value of US$0.0001 each; (b) 960,827,000 Class B Ordinary Shares of par value of US$0.0001 each; (c) 1,000,000,000 Class C Ordinary Shares of par value of US$0.0001 each; and (d) 37,255,713,000 undesignated shares with a par value of US$0.0001 each, of such class or classes (however designated) as the board of directors may determine in accordance with the Articles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6</w:t>
            </w:r>
          </w:p>
        </w:tc>
        <w:tc>
          <w:tcPr>
            <w:tcW w:w="10028" w:type="dxa"/>
            <w:tcBorders/>
            <w:vAlign w:val="center"/>
          </w:tcPr>
          <w:p>
            <w:pPr>
              <w:pStyle w:val="TableContents"/>
              <w:bidi w:val="0"/>
              <w:spacing w:before="0" w:after="283"/>
              <w:jc w:val="both"/>
              <w:rPr/>
            </w:pPr>
            <w:r>
              <w:rPr/>
              <w:t>All of the issued shares in the capital of the Company have been duly and validly authorised and issued and are fully paid and non-assessable (meaning that no further sums are payable to the Company on such shares and the Company has received payment therefor).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7</w:t>
            </w:r>
          </w:p>
        </w:tc>
        <w:tc>
          <w:tcPr>
            <w:tcW w:w="10028" w:type="dxa"/>
            <w:tcBorders/>
            <w:vAlign w:val="center"/>
          </w:tcPr>
          <w:p>
            <w:pPr>
              <w:pStyle w:val="TableContents"/>
              <w:bidi w:val="0"/>
              <w:spacing w:before="0" w:after="283"/>
              <w:jc w:val="both"/>
              <w:rPr/>
            </w:pPr>
            <w:r>
              <w:rPr/>
              <w:t>The directors of the Company at the date of the Minutes and as at the date of this certificate were and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Dagang Feng</w:t>
        <w:br/>
        <w:t>Yifan Li</w:t>
        <w:br/>
        <w:t>Hendrick SIN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Xiang Li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Li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 Xu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 Xu</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8</w:t>
            </w:r>
          </w:p>
        </w:tc>
        <w:tc>
          <w:tcPr>
            <w:tcW w:w="10028" w:type="dxa"/>
            <w:tcBorders/>
            <w:vAlign w:val="center"/>
          </w:tcPr>
          <w:p>
            <w:pPr>
              <w:pStyle w:val="TableContents"/>
              <w:bidi w:val="0"/>
              <w:spacing w:before="0" w:after="283"/>
              <w:jc w:val="both"/>
              <w:rPr/>
            </w:pPr>
            <w:r>
              <w:rPr/>
              <w:t>No interest in the Company constituting shares, voting rights or ultimate effective control over management in the Company is currently subject to a restrictions notice issued under the BOT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9</w:t>
            </w:r>
          </w:p>
        </w:tc>
        <w:tc>
          <w:tcPr>
            <w:tcW w:w="10028" w:type="dxa"/>
            <w:tcBorders/>
            <w:vAlign w:val="center"/>
          </w:tcPr>
          <w:p>
            <w:pPr>
              <w:pStyle w:val="TableContents"/>
              <w:bidi w:val="0"/>
              <w:spacing w:before="0" w:after="283"/>
              <w:jc w:val="both"/>
              <w:rPr/>
            </w:pPr>
            <w:r>
              <w:rPr/>
              <w:t>To the best of my knowledge and belief, having made due enquiry, none of the shares, interests, rights or obligations, if any, which are directly or indirectly the subject of the transactions contemplated by the Transaction Documents is currently subject to any restrictions notice issued under the BOT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10</w:t>
            </w:r>
          </w:p>
        </w:tc>
        <w:tc>
          <w:tcPr>
            <w:tcW w:w="9908" w:type="dxa"/>
            <w:tcBorders/>
            <w:vAlign w:val="center"/>
          </w:tcPr>
          <w:p>
            <w:pPr>
              <w:pStyle w:val="TableContents"/>
              <w:bidi w:val="0"/>
              <w:spacing w:before="0" w:after="283"/>
              <w:jc w:val="both"/>
              <w:rPr/>
            </w:pPr>
            <w:r>
              <w:rPr/>
              <w:t>To the best of my knowledge and belief, having made due inquiry, the Company is not the subject of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you may continue to rely on this Certificate as being true and correct on the day that you issue the Opinion unless I shall have previously notified you personally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875"/>
        <w:gridCol w:w="980"/>
        <w:gridCol w:w="75"/>
      </w:tblGrid>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Xiang Li</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Xiang Li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4" w:name="tm2625538d2_ex8-2.htm"/>
      <w:bookmarkStart w:id="25" w:name="kstm2625538d2_ex82"/>
      <w:bookmarkEnd w:id="24"/>
      <w:bookmarkEnd w:id="25"/>
      <w:r>
        <w:rPr/>
        <w:t> </w:t>
      </w:r>
      <w:r>
        <w:br w:type="page"/>
      </w:r>
    </w:p>
    <w:p>
      <w:pPr>
        <w:pStyle w:val="TextBody"/>
        <w:bidi w:val="0"/>
        <w:jc w:val="right"/>
        <w:rPr>
          <w:b/>
        </w:rPr>
      </w:pPr>
      <w:r>
        <w:rPr>
          <w:b/>
        </w:rPr>
        <w:t>Exhibit 8.2</w:t>
      </w:r>
    </w:p>
    <w:p>
      <w:pPr>
        <w:pStyle w:val="TextBody"/>
        <w:bidi w:val="0"/>
        <w:jc w:val="right"/>
        <w:rPr/>
      </w:pPr>
      <w:r>
        <w:rPr/>
        <w:t> </w:t>
      </w:r>
    </w:p>
    <w:p>
      <w:pPr>
        <w:pStyle w:val="TextBody"/>
        <w:bidi w:val="0"/>
        <w:jc w:val="center"/>
        <w:rPr/>
      </w:pPr>
      <w:r>
        <w:rPr/>
        <w:drawing>
          <wp:inline distT="0" distB="0" distL="0" distR="0">
            <wp:extent cx="2657475" cy="533400"/>
            <wp:effectExtent l="0" t="0" r="0" b="0"/>
            <wp:docPr id="1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 descr=""/>
                    <pic:cNvPicPr>
                      <a:picLocks noChangeAspect="1" noChangeArrowheads="1"/>
                    </pic:cNvPicPr>
                  </pic:nvPicPr>
                  <pic:blipFill>
                    <a:blip r:embed="rId13"/>
                    <a:stretch>
                      <a:fillRect/>
                    </a:stretch>
                  </pic:blipFill>
                  <pic:spPr bwMode="auto">
                    <a:xfrm>
                      <a:off x="0" y="0"/>
                      <a:ext cx="2657475" cy="533400"/>
                    </a:xfrm>
                    <a:prstGeom prst="rect">
                      <a:avLst/>
                    </a:prstGeom>
                  </pic:spPr>
                </pic:pic>
              </a:graphicData>
            </a:graphic>
          </wp:inline>
        </w:drawing>
      </w: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248150" cy="371475"/>
            <wp:effectExtent l="0" t="0" r="0" b="0"/>
            <wp:docPr id="1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 descr=""/>
                    <pic:cNvPicPr>
                      <a:picLocks noChangeAspect="1" noChangeArrowheads="1"/>
                    </pic:cNvPicPr>
                  </pic:nvPicPr>
                  <pic:blipFill>
                    <a:blip r:embed="rId14"/>
                    <a:stretch>
                      <a:fillRect/>
                    </a:stretch>
                  </pic:blipFill>
                  <pic:spPr bwMode="auto">
                    <a:xfrm>
                      <a:off x="0" y="0"/>
                      <a:ext cx="4248150" cy="37147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36Kr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lawyers of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for the purpose of issuing this opinion, excluding Hong Kong Special Administrative Region, Macau Special Administrative Region and Taiwan) and as such are qualified to issue this opinion with respect to all laws, regulations, rules, judicial interpretations and other legislations of the PRC effective and publicly available as of the date hereof (hereinafter referred to as the “</w:t>
      </w:r>
      <w:r>
        <w:rPr>
          <w:rFonts w:ascii="Times New Roman;Times;Serif" w:hAnsi="Times New Roman;Times;Serif"/>
          <w:b/>
          <w:i w:val="false"/>
          <w:caps w:val="false"/>
          <w:smallCaps w:val="false"/>
          <w:sz w:val="20"/>
        </w:rPr>
        <w:t>PRC Laws</w:t>
      </w:r>
      <w:r>
        <w:rPr>
          <w:rFonts w:ascii="Times New Roman;Times;Serif" w:hAnsi="Times New Roman;Times;Serif"/>
          <w:b w:val="false"/>
          <w:i w:val="false"/>
          <w:caps w:val="false"/>
          <w:smallCaps w:val="false"/>
          <w:sz w:val="20"/>
        </w:rPr>
        <w:t>”). We have acted as your PRC legal counsel in connection with the proposed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a certain number of Class A ordinary shares, including in the form of American Depositary Shares, or ADSs, preferred shares, warrants to purchase Class A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preferred shares of 36Kr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subscription rights and a combination of such securities, separately or as units, in one or more offerings, as set forth in the Company’s registration statement on Form F-3, including a base prospectus, and the prospectus supplement(s), including any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Securities and Exchange Commission under the U.S. Securities Act of 1933 (as amended) in relation to the Offering.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2"/>
        <w:gridCol w:w="9453"/>
      </w:tblGrid>
      <w:tr>
        <w:trPr/>
        <w:tc>
          <w:tcPr>
            <w:tcW w:w="1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b/>
                <w:sz w:val="20"/>
              </w:rPr>
            </w:pPr>
            <w:r>
              <w:rPr>
                <w:b/>
                <w:sz w:val="20"/>
              </w:rPr>
              <w:t>A.</w:t>
            </w:r>
          </w:p>
        </w:tc>
        <w:tc>
          <w:tcPr>
            <w:tcW w:w="9453" w:type="dxa"/>
            <w:tcBorders/>
            <w:vAlign w:val="center"/>
          </w:tcPr>
          <w:p>
            <w:pPr>
              <w:pStyle w:val="TableContents"/>
              <w:bidi w:val="0"/>
              <w:spacing w:before="0" w:after="283"/>
              <w:jc w:val="both"/>
              <w:rPr>
                <w:b/>
              </w:rPr>
            </w:pPr>
            <w:r>
              <w:rPr>
                <w:b/>
              </w:rPr>
              <w:t>Documents and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reviewed the Company’s Registration Statement (as defined below) and other documents (collectively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originals or copies certified or otherwise identified to our satisfaction of the Documents as we have considered necessary or advisable for the purpose of rendering this opinion. Where certain facts were not independently established by us, we have relied upon certificates or statements issued or made by competent national, provincial or local governmental regulatory or administrative authority, agency or commission in the PRC having jurisdiction over the Company and appropriate representatives of the Company. In delivering this opinion, we have made the following assumptions: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Except as stated herein, each of the Documents is legal, valid, binding and enforceable in accordance with its respective governing laws in any and all respects; each of the parties to the Documents, (i) if a legal person or other entity, is duly organized and is validly existing in good standing under the laws of its jurisdiction of organization and/or incorporation, (ii) if an individual, has full capacity for civil conduct; each of them, has full power and authority to execute, deliver and perform its, her or his obligations under the documents to which it, she or he is a party in accordance with the laws of its jurisdiction of organization and/or the laws that it, she or he is subject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that the Documents submitted to us still exist, remain in full force and effect up to the date of this opinion and have not been revoked, amended, varied, cancelled or superseded by some other document or agreement or action; and no revocation or termination has occurred, with respect to any of the Documents after they were submitted to us for the purposes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(c)</w:t>
            </w:r>
          </w:p>
        </w:tc>
        <w:tc>
          <w:tcPr>
            <w:tcW w:w="9955" w:type="dxa"/>
            <w:tcBorders/>
            <w:vAlign w:val="center"/>
          </w:tcPr>
          <w:p>
            <w:pPr>
              <w:pStyle w:val="TableContents"/>
              <w:bidi w:val="0"/>
              <w:spacing w:before="0" w:after="283"/>
              <w:jc w:val="both"/>
              <w:rPr/>
            </w:pPr>
            <w:r>
              <w:rPr>
                <w:sz w:val="20"/>
              </w:rPr>
              <w:t>the laws of jurisdictions other than the PRC which may be applicable to the execution, delivery, performance or enforcement of the documents are complied with</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that all Documents submitted to us as originals are authentic and as copies conform to their respective originals and that the signatures, seals and chops on the Documents submitted to us are genuine, each signature on behalf of a party thereto is that of a person duly authorized by such party to execute the same;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(e)</w:t>
            </w:r>
          </w:p>
        </w:tc>
        <w:tc>
          <w:tcPr>
            <w:tcW w:w="9937" w:type="dxa"/>
            <w:tcBorders/>
            <w:vAlign w:val="center"/>
          </w:tcPr>
          <w:p>
            <w:pPr>
              <w:pStyle w:val="TableContents"/>
              <w:bidi w:val="0"/>
              <w:spacing w:before="0" w:after="283"/>
              <w:jc w:val="both"/>
              <w:rPr/>
            </w:pPr>
            <w:r>
              <w:rPr/>
              <w:t>that all Documents have been validly authorized, executed or delivered by all of the entities thereto and such entities to the Documents have full power and authority to enter into, and have duly executed and delivered such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(f)</w:t>
            </w:r>
          </w:p>
        </w:tc>
        <w:tc>
          <w:tcPr>
            <w:tcW w:w="9968" w:type="dxa"/>
            <w:tcBorders/>
            <w:vAlign w:val="center"/>
          </w:tcPr>
          <w:p>
            <w:pPr>
              <w:pStyle w:val="TableContents"/>
              <w:bidi w:val="0"/>
              <w:spacing w:before="0" w:after="283"/>
              <w:jc w:val="both"/>
              <w:rPr/>
            </w:pPr>
            <w:r>
              <w:rPr/>
              <w:t>all requested Documents have been provided to us and all factual statements made to us by the Company in connection with this opinion, including but not limited to factual statements set forth in the Documents, are true, correct and complete;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(g)</w:t>
            </w:r>
          </w:p>
        </w:tc>
        <w:tc>
          <w:tcPr>
            <w:tcW w:w="9935" w:type="dxa"/>
            <w:tcBorders/>
            <w:vAlign w:val="center"/>
          </w:tcPr>
          <w:p>
            <w:pPr>
              <w:pStyle w:val="TableContents"/>
              <w:bidi w:val="0"/>
              <w:spacing w:before="0" w:after="283"/>
              <w:jc w:val="both"/>
              <w:rPr/>
            </w:pPr>
            <w:r>
              <w:rPr/>
              <w:t>that all consents, licenses, permits, approvals, exemptions or authorizations required of or by, and any required registrations or filings with, any governmental authority or regulatory body of any jurisdiction other than the PRC in connection with the transactions contemplated under all Documents submitted to us have been obtained or made, and are in full force and effect as of the date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(h)</w:t>
            </w:r>
          </w:p>
        </w:tc>
        <w:tc>
          <w:tcPr>
            <w:tcW w:w="9911" w:type="dxa"/>
            <w:tcBorders/>
            <w:vAlign w:val="center"/>
          </w:tcPr>
          <w:p>
            <w:pPr>
              <w:pStyle w:val="TableContents"/>
              <w:bidi w:val="0"/>
              <w:spacing w:before="0" w:after="283"/>
              <w:jc w:val="both"/>
              <w:rPr/>
            </w:pPr>
            <w:r>
              <w:rPr/>
              <w:t>all explanations and interpretations provided by government officials duly reflect the official position of the relevant Governmental Agencies and are complete, true and correct;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all Governmental Authorizations (as defined below) and other official statements and documentation obtained by the Company or any PRC Entity from any Government Agency have been obtained by lawful means in due course, and the Documents provided to us conform with those documents submitted to Government Agencies for such purposes;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assumed and have not verified the accuracy as to financial or auditing matters of each document we have reviewed, and have relied upon opinions or reports issued by overseas legal advisers, auditors and reporting accountants of the Company. For the avoidance of doubt, we render no opinion as to and are not responsible for: (a) financial, appraisal or accounting matters; and (b) review of technical or environmental issues. This opinion is rendered on the basis of the PRC Laws effective as at the date hereof and there is no assurance that any of the PRC Laws will not be changed, amended, superseded or replaced in the immediate future or in the longer term with or without retroactive effect. The PRC Laws involve uncertainties in their interpretation and implementation, which are subject to the discretion of the Governmental Agencies or the PRC courts.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492"/>
        <w:gridCol w:w="8430"/>
      </w:tblGrid>
      <w:tr>
        <w:trPr/>
        <w:tc>
          <w:tcPr>
            <w:tcW w:w="2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b/>
                <w:sz w:val="20"/>
              </w:rPr>
            </w:pPr>
            <w:r>
              <w:rPr>
                <w:b/>
                <w:sz w:val="20"/>
              </w:rPr>
              <w:t>B.</w:t>
            </w:r>
          </w:p>
        </w:tc>
        <w:tc>
          <w:tcPr>
            <w:tcW w:w="8430" w:type="dxa"/>
            <w:tcBorders/>
            <w:vAlign w:val="center"/>
          </w:tcPr>
          <w:p>
            <w:pPr>
              <w:pStyle w:val="TableContents"/>
              <w:bidi w:val="0"/>
              <w:spacing w:before="0" w:after="283"/>
              <w:jc w:val="both"/>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in the context of this opinion, the following capitalized terms used in this opinion shall have the meanings ascribed to them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0"/>
        <w:gridCol w:w="60"/>
        <w:gridCol w:w="8555"/>
      </w:tblGrid>
      <w:tr>
        <w:trPr/>
        <w:tc>
          <w:tcPr>
            <w:tcW w:w="1590" w:type="dxa"/>
            <w:tcBorders/>
            <w:vAlign w:val="center"/>
          </w:tcPr>
          <w:p>
            <w:pPr>
              <w:pStyle w:val="TableContents"/>
              <w:bidi w:val="0"/>
              <w:spacing w:before="0" w:after="283"/>
              <w:jc w:val="left"/>
              <w:rPr/>
            </w:pPr>
            <w:r>
              <w:rPr/>
              <w:t>“</w:t>
            </w:r>
            <w:r>
              <w:rPr>
                <w:rFonts w:ascii="Times New Roman;Times;Serif" w:hAnsi="Times New Roman;Times;Serif"/>
                <w:b/>
                <w:sz w:val="20"/>
              </w:rPr>
              <w:t>CSRC</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China Securities Regulatory Commission.</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r>
        <w:trPr/>
        <w:tc>
          <w:tcPr>
            <w:tcW w:w="1590" w:type="dxa"/>
            <w:tcBorders/>
            <w:vAlign w:val="center"/>
          </w:tcPr>
          <w:p>
            <w:pPr>
              <w:pStyle w:val="TableContents"/>
              <w:bidi w:val="0"/>
              <w:spacing w:before="0" w:after="283"/>
              <w:jc w:val="left"/>
              <w:rPr/>
            </w:pPr>
            <w:r>
              <w:rPr/>
              <w:t> “</w:t>
            </w:r>
            <w:r>
              <w:rPr>
                <w:rFonts w:ascii="Times New Roman;Times;Serif" w:hAnsi="Times New Roman;Times;Serif"/>
                <w:b/>
                <w:sz w:val="20"/>
              </w:rPr>
              <w:t>Government Agencies</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any and all competent government authorities, agencies, courts, arbitration commissions, or regulatory bodies of the PRC or any province, autonomous region, city or other administrative division of the PRC, and “</w:t>
            </w:r>
            <w:r>
              <w:rPr>
                <w:rFonts w:ascii="Times New Roman;Times;Serif" w:hAnsi="Times New Roman;Times;Serif"/>
                <w:b/>
                <w:sz w:val="20"/>
              </w:rPr>
              <w:t>Government Agency</w:t>
            </w:r>
            <w:r>
              <w:rPr>
                <w:rFonts w:ascii="Times New Roman;Times;Serif" w:hAnsi="Times New Roman;Times;Serif"/>
                <w:sz w:val="20"/>
              </w:rPr>
              <w:t>” means any of them.</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r>
        <w:trPr/>
        <w:tc>
          <w:tcPr>
            <w:tcW w:w="1590" w:type="dxa"/>
            <w:tcBorders/>
            <w:vAlign w:val="center"/>
          </w:tcPr>
          <w:p>
            <w:pPr>
              <w:pStyle w:val="TableContents"/>
              <w:bidi w:val="0"/>
              <w:spacing w:before="0" w:after="283"/>
              <w:jc w:val="left"/>
              <w:rPr/>
            </w:pPr>
            <w:r>
              <w:rPr/>
              <w:t>“</w:t>
            </w:r>
            <w:r>
              <w:rPr>
                <w:rFonts w:ascii="Times New Roman;Times;Serif" w:hAnsi="Times New Roman;Times;Serif"/>
                <w:b/>
                <w:sz w:val="20"/>
              </w:rPr>
              <w:t>Governmental Authorizations</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any approvals, consents, permits, authorizations, exemptions, waivers, endorsements, annual inspections, qualifications and licenses from, and any filings and registrations with, any Government Agency as required by PRC Laws.</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r>
        <w:trPr/>
        <w:tc>
          <w:tcPr>
            <w:tcW w:w="1590" w:type="dxa"/>
            <w:tcBorders/>
            <w:vAlign w:val="center"/>
          </w:tcPr>
          <w:p>
            <w:pPr>
              <w:pStyle w:val="TableContents"/>
              <w:bidi w:val="0"/>
              <w:spacing w:before="0" w:after="283"/>
              <w:jc w:val="left"/>
              <w:rPr/>
            </w:pPr>
            <w:r>
              <w:rPr/>
              <w:t>“</w:t>
            </w:r>
            <w:r>
              <w:rPr>
                <w:rFonts w:ascii="Times New Roman;Times;Serif" w:hAnsi="Times New Roman;Times;Serif"/>
                <w:b/>
                <w:sz w:val="20"/>
              </w:rPr>
              <w:t>M&amp;A Rules</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Rules on Mergers and Acquisitions of Domestic Enterprises by Foreign Investors, which were jointly promulgated on August 8, 2006 by the Ministry of Commerce, the State Assets Supervision and Administration Commission, the State Administration for Taxation, the State Administration for Industry and Commerce, CSRC and the State Administration of Foreign Exchange, became effective on September 8, 2006 and were amended on June 22, 2009.</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r>
        <w:trPr/>
        <w:tc>
          <w:tcPr>
            <w:tcW w:w="1590" w:type="dxa"/>
            <w:tcBorders/>
            <w:vAlign w:val="center"/>
          </w:tcPr>
          <w:p>
            <w:pPr>
              <w:pStyle w:val="TableContents"/>
              <w:bidi w:val="0"/>
              <w:spacing w:before="0" w:after="283"/>
              <w:jc w:val="left"/>
              <w:rPr/>
            </w:pPr>
            <w:r>
              <w:rPr/>
              <w:t>“</w:t>
            </w:r>
            <w:r>
              <w:rPr>
                <w:rFonts w:ascii="Times New Roman;Times;Serif" w:hAnsi="Times New Roman;Times;Serif"/>
                <w:b/>
                <w:sz w:val="20"/>
              </w:rPr>
              <w:t>PRC Laws</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any and all laws, regulations, statues, rules, decrees, notices, and supreme court’s judicial interpretations currently in force and publicly available in the PRC as of the date hereof.</w:t>
            </w:r>
          </w:p>
        </w:tc>
      </w:tr>
      <w:tr>
        <w:trPr/>
        <w:tc>
          <w:tcPr>
            <w:tcW w:w="1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r>
        <w:trPr/>
        <w:tc>
          <w:tcPr>
            <w:tcW w:w="1590" w:type="dxa"/>
            <w:tcBorders/>
            <w:vAlign w:val="center"/>
          </w:tcPr>
          <w:p>
            <w:pPr>
              <w:pStyle w:val="TableContents"/>
              <w:bidi w:val="0"/>
              <w:spacing w:before="0" w:after="283"/>
              <w:jc w:val="left"/>
              <w:rPr/>
            </w:pPr>
            <w:r>
              <w:rPr/>
              <w:t>“</w:t>
            </w:r>
            <w:r>
              <w:rPr>
                <w:rFonts w:ascii="Times New Roman;Times;Serif" w:hAnsi="Times New Roman;Times;Serif"/>
                <w:b/>
                <w:sz w:val="20"/>
              </w:rPr>
              <w:t>WFOE”</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rFonts w:ascii="Times New Roman;Times;Serif" w:hAnsi="Times New Roman;Times;Serif"/>
                <w:sz w:val="20"/>
              </w:rPr>
              <w:t>means Beijing Dake Information Technology Co., Ltd. (</w:t>
            </w:r>
            <w:r>
              <w:rPr>
                <w:rFonts w:eastAsia="Times New Roman;Times;Serif"/>
              </w:rPr>
              <w:t>北京大氪信息科技有限公司</w:t>
            </w:r>
            <w:r>
              <w:rPr>
                <w:rFonts w:ascii="Times New Roman;Times;Serif" w:hAnsi="Times New Roman;Times;Serif"/>
              </w:rPr>
              <w: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400" w:type="dxa"/>
        <w:jc w:val="left"/>
        <w:tblInd w:w="0" w:type="dxa"/>
        <w:tblLayout w:type="fixed"/>
        <w:tblCellMar>
          <w:top w:w="0" w:type="dxa"/>
          <w:left w:w="0" w:type="dxa"/>
          <w:bottom w:w="0" w:type="dxa"/>
          <w:right w:w="0" w:type="dxa"/>
        </w:tblCellMar>
      </w:tblPr>
      <w:tblGrid>
        <w:gridCol w:w="1640"/>
        <w:gridCol w:w="60"/>
        <w:gridCol w:w="7700"/>
      </w:tblGrid>
      <w:tr>
        <w:trPr/>
        <w:tc>
          <w:tcPr>
            <w:tcW w:w="1640" w:type="dxa"/>
            <w:tcBorders/>
            <w:vAlign w:val="center"/>
          </w:tcPr>
          <w:p>
            <w:pPr>
              <w:pStyle w:val="TableContents"/>
              <w:bidi w:val="0"/>
              <w:spacing w:before="0" w:after="283"/>
              <w:jc w:val="left"/>
              <w:rPr/>
            </w:pPr>
            <w:r>
              <w:rPr/>
              <w:t>“</w:t>
            </w:r>
            <w:r>
              <w:rPr>
                <w:rFonts w:ascii="Times New Roman;Times;Serif" w:hAnsi="Times New Roman;Times;Serif"/>
                <w:b/>
                <w:sz w:val="20"/>
              </w:rPr>
              <w:t>VIE Agreements”</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means the documents as set forth in </w:t>
            </w:r>
            <w:r>
              <w:rPr>
                <w:rFonts w:ascii="Times New Roman;Times;Serif" w:hAnsi="Times New Roman;Times;Serif"/>
                <w:b/>
                <w:sz w:val="20"/>
              </w:rPr>
              <w:t>Annex I</w:t>
            </w:r>
            <w:r>
              <w:rPr>
                <w:rFonts w:ascii="Times New Roman;Times;Serif" w:hAnsi="Times New Roman;Times;Serif"/>
                <w:sz w:val="20"/>
              </w:rPr>
              <w:t xml:space="preserve"> hereto.</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both"/>
              <w:rPr/>
            </w:pPr>
            <w:r>
              <w:rPr/>
              <w:t> </w:t>
            </w:r>
          </w:p>
        </w:tc>
      </w:tr>
      <w:tr>
        <w:trPr/>
        <w:tc>
          <w:tcPr>
            <w:tcW w:w="1640" w:type="dxa"/>
            <w:tcBorders/>
            <w:vAlign w:val="center"/>
          </w:tcPr>
          <w:p>
            <w:pPr>
              <w:pStyle w:val="TableContents"/>
              <w:bidi w:val="0"/>
              <w:spacing w:before="0" w:after="283"/>
              <w:jc w:val="left"/>
              <w:rPr/>
            </w:pPr>
            <w:r>
              <w:rPr/>
              <w:t>“</w:t>
            </w:r>
            <w:r>
              <w:rPr>
                <w:rFonts w:ascii="Times New Roman;Times;Serif" w:hAnsi="Times New Roman;Times;Serif"/>
                <w:b/>
                <w:sz w:val="20"/>
              </w:rPr>
              <w:t>VIE Entity”</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both"/>
              <w:rPr/>
            </w:pPr>
            <w:r>
              <w:rPr>
                <w:rFonts w:ascii="Times New Roman;Times;Serif" w:hAnsi="Times New Roman;Times;Serif"/>
                <w:sz w:val="20"/>
              </w:rPr>
              <w:t>means Beijing Duoke Information Technology Co., Ltd. (</w:t>
            </w:r>
            <w:r>
              <w:rPr>
                <w:rFonts w:eastAsia="Times New Roman;Times;Serif"/>
              </w:rPr>
              <w:t>北京多氪信息科技有限公司</w:t>
            </w: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1718"/>
        <w:gridCol w:w="8161"/>
      </w:tblGrid>
      <w:tr>
        <w:trPr/>
        <w:tc>
          <w:tcPr>
            <w:tcW w:w="32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b/>
                <w:sz w:val="20"/>
              </w:rPr>
            </w:pPr>
            <w:r>
              <w:rPr>
                <w:b/>
                <w:sz w:val="20"/>
              </w:rPr>
              <w:t>C.</w:t>
            </w:r>
          </w:p>
        </w:tc>
        <w:tc>
          <w:tcPr>
            <w:tcW w:w="8161" w:type="dxa"/>
            <w:tcBorders/>
            <w:vAlign w:val="center"/>
          </w:tcPr>
          <w:p>
            <w:pPr>
              <w:pStyle w:val="TableContents"/>
              <w:bidi w:val="0"/>
              <w:spacing w:before="0" w:after="283"/>
              <w:jc w:val="both"/>
              <w:rPr>
                <w:b/>
              </w:rPr>
            </w:pPr>
            <w:r>
              <w:rPr>
                <w:b/>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qualifications, assumptions and limitations stated herein, we are of the opinions that on the date 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(1)</w:t>
            </w:r>
          </w:p>
        </w:tc>
        <w:tc>
          <w:tcPr>
            <w:tcW w:w="9997" w:type="dxa"/>
            <w:tcBorders/>
            <w:vAlign w:val="center"/>
          </w:tcPr>
          <w:p>
            <w:pPr>
              <w:pStyle w:val="TableContents"/>
              <w:bidi w:val="0"/>
              <w:spacing w:before="0" w:after="283"/>
              <w:jc w:val="both"/>
              <w:rPr/>
            </w:pPr>
            <w:r>
              <w:rPr>
                <w:i/>
              </w:rPr>
              <w:t xml:space="preserve">Organization Structure. </w:t>
            </w:r>
            <w:r>
              <w:rPr/>
              <w:t>Except as disclosed in the Registration Statement, (a) the ownership structure of the VIE Entity and the WFOE as set forth in the Registration Statement, both currently and immediately after giving effect to this Offering, will not result in any violation of PRC Laws currently in effect; (b) the contractual arrangements under the VIE Agreements, during the period from the date of execution until the date of termination, were valid, binding and enforceable, and did not contravene (i) the articles of association and business licenses of the VIE Entity and the WFOE that are parties to any of the VIE Agreements, or (ii) any applicable PRC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(2)</w:t>
            </w:r>
          </w:p>
        </w:tc>
        <w:tc>
          <w:tcPr>
            <w:tcW w:w="9997" w:type="dxa"/>
            <w:tcBorders/>
            <w:vAlign w:val="center"/>
          </w:tcPr>
          <w:p>
            <w:pPr>
              <w:pStyle w:val="TableContents"/>
              <w:bidi w:val="0"/>
              <w:spacing w:before="0" w:after="283"/>
              <w:jc w:val="both"/>
              <w:rPr/>
            </w:pPr>
            <w:r>
              <w:rPr>
                <w:i/>
                <w:sz w:val="20"/>
              </w:rPr>
              <w:t>M&amp;A Rules</w:t>
            </w:r>
            <w:r>
              <w:rPr/>
              <w:t>. Based on our understanding of the explicit provisions under PRC Laws, except as disclosed in the Registration Statement, and assuming no offer, issuance or sale of the ADSs has been or will be made directly or indirectly within the PRC, a prior approval from the CSRC is not required for the Offering. However, there are substantial uncertainties regarding the interpretation and application of the M&amp;A Rules, other PRC Laws and future PRC laws and regulations, and there can be no assurance that any Governmental Agency will not take a view that is contrary to or otherwise different from our opinions stated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sz w:val="20"/>
              </w:rPr>
            </w:pPr>
            <w:r>
              <w:rPr>
                <w:sz w:val="20"/>
              </w:rPr>
              <w:t>(3)</w:t>
            </w:r>
          </w:p>
        </w:tc>
        <w:tc>
          <w:tcPr>
            <w:tcW w:w="9978" w:type="dxa"/>
            <w:tcBorders/>
            <w:vAlign w:val="center"/>
          </w:tcPr>
          <w:p>
            <w:pPr>
              <w:pStyle w:val="TableContents"/>
              <w:bidi w:val="0"/>
              <w:spacing w:before="0" w:after="283"/>
              <w:jc w:val="both"/>
              <w:rPr/>
            </w:pPr>
            <w:r>
              <w:rPr>
                <w:i/>
              </w:rPr>
              <w:t>Taxation</w:t>
            </w:r>
            <w:r>
              <w:rPr/>
              <w:t>. The statements made in the Registration Statement under the sections entitled “Taxation” with respect to the PRC tax laws and regulations or interpretations, are correct and accurate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sz w:val="20"/>
              </w:rPr>
            </w:pPr>
            <w:r>
              <w:rPr>
                <w:sz w:val="20"/>
              </w:rPr>
              <w:t>(4)</w:t>
            </w:r>
          </w:p>
        </w:tc>
        <w:tc>
          <w:tcPr>
            <w:tcW w:w="10002" w:type="dxa"/>
            <w:tcBorders/>
            <w:vAlign w:val="center"/>
          </w:tcPr>
          <w:p>
            <w:pPr>
              <w:pStyle w:val="TableContents"/>
              <w:bidi w:val="0"/>
              <w:spacing w:before="0" w:after="283"/>
              <w:jc w:val="both"/>
              <w:rPr/>
            </w:pPr>
            <w:r>
              <w:rPr>
                <w:i/>
              </w:rPr>
              <w:t>Enforceability of Civil Procedures</w:t>
            </w:r>
            <w:r>
              <w:rPr/>
              <w:t>. There is uncertainty as to whether the PRC courts would (i) recognize or enforce judgments of United States courts obtained against the Company or the directors or officers of the Company predicated upon the civil liability provisions of the securities laws of the United States or any state in the United States, or (ii) entertain original actions brought in each respective jurisdiction against the Company or the directors or officers of the Company predicated upon the securities laws of the United States or any state in the United States. The recognition and enforcement of foreign judgments are provided for under the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written reciprocity with the United States or the Cayman Islands that provide for the reciprocal recognition and enforcement of foreign judgments. In addition, according to the PRC Civil Procedures Law, courts in the PRC will not enforce a foreign judgment against a company or its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 or the Cayman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sz w:val="20"/>
              </w:rPr>
            </w:pPr>
            <w:r>
              <w:rPr>
                <w:sz w:val="20"/>
              </w:rPr>
              <w:t>(5)</w:t>
            </w:r>
          </w:p>
        </w:tc>
        <w:tc>
          <w:tcPr>
            <w:tcW w:w="9995" w:type="dxa"/>
            <w:tcBorders/>
            <w:vAlign w:val="center"/>
          </w:tcPr>
          <w:p>
            <w:pPr>
              <w:pStyle w:val="TableContents"/>
              <w:bidi w:val="0"/>
              <w:spacing w:before="0" w:after="283"/>
              <w:jc w:val="both"/>
              <w:rPr/>
            </w:pPr>
            <w:r>
              <w:rPr>
                <w:i/>
              </w:rPr>
              <w:t>PRC Laws</w:t>
            </w:r>
            <w:r>
              <w:rPr/>
              <w:t>. The statements set forth in the Registration Statement under the sections entitled “Risk Factors”, “Taxation”, “Enforceability of Civil Liabilities”, “Legal Matters” to the extent that they describe or summarize matters of PRC Laws, are correct and accurate in all material respects, and nothing has come to our attention, insofar as PRC Laws are concerned, that causes us to believe that there is any omission from such statements which causes such statements misleading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strictly limited to matters of the PRC Laws. We assume no responsibility to advise you of facts, circumstances, events or developments that may be brought to our attention in future and that may alter, affect or modify the opinions expressed herein. We have not investigated, and we do not express or imply any opinion whatsoever with respect to the laws of any other jurisdiction, and we have assumed that no such other laws would affect the opinions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opinions expressed above are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both"/>
              <w:rPr/>
            </w:pPr>
            <w:r>
              <w:rPr/>
              <w:t>Our opinions are strictly limited to PRC Laws of general application on the date hereof. We have made no investigation of, and do not express or imply any views on, the laws of any jurisdiction other than the PRC, and we have assumed that no such other laws would affect our opinions expressed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PRC Laws referred to herein are laws and regulations publicly available and currently in force on the date hereof and there is no guarantee that any of such laws and regulations, or the interpretation or enforcement thereof, will not be changed, amended or revoked in the future with or without retrospective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283"/>
              <w:jc w:val="both"/>
              <w:rPr/>
            </w:pPr>
            <w:r>
              <w:rPr/>
              <w:t>Our opinions are subject to (i) applicable bankruptcy, insolvency, fraudulent transfer, reorganization, moratorium or similar laws in the PRC affecting creditors’ rights generally, and (ii) possible judicial or administrative actions or any PRC Laws affecting creditors’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(4)</w:t>
            </w:r>
          </w:p>
        </w:tc>
        <w:tc>
          <w:tcPr>
            <w:tcW w:w="9976" w:type="dxa"/>
            <w:tcBorders/>
            <w:vAlign w:val="center"/>
          </w:tcPr>
          <w:p>
            <w:pPr>
              <w:pStyle w:val="TableContents"/>
              <w:bidi w:val="0"/>
              <w:spacing w:before="0" w:after="283"/>
              <w:jc w:val="both"/>
              <w:rPr/>
            </w:pPr>
            <w:r>
              <w:rPr>
                <w:sz w:val="20"/>
              </w:rPr>
              <w:t>Our opinions are subject to the effects of (i) certain legal or statutory principles affecting the enforceability of contractual rights generally under the concepts of public interests, social ethics, national security, good faith, fair dealing, and applicable statutes of limitation; (ii) any circumstance in connection with the formulation, execution or performance of any legal documents that would be deemed materially mistaken, clearly unconscionable, fraudulent, coercionary</w:t>
            </w:r>
            <w:r>
              <w:rPr/>
              <w:t xml:space="preserve"> or concealing illegal intentions with a lawful form; (iii) judicial discretion with respect to the availability of specific performance, injunctive relief, remedies or defenses, or the calculation of damages; and (iv) the discretion of any competent PRC legislative, administrative or judicial bodies in exercising their authority in the PRC.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283"/>
              <w:jc w:val="both"/>
              <w:rPr/>
            </w:pPr>
            <w:r>
              <w:rPr/>
              <w:t>This opinion is issued based on our understanding of PRC Laws. For matters not explicitly provided under PRC Laws, the interpretation, implementation and application of the specific requirements under PRC Laws, as well as their application to and effect on the legality, binding effect and enforceability of certain contracts, are subject to the final discretion of competent PRC legislative, administrative and judicial authorities. Under PRC Laws, foreign investment is restricted in certain industries. The interpretation and implementation of these laws and regulations, and their application to and effect on the legality, binding effect and enforceability of contracts such as the VIE Agreements and transactions contemplated by the VIE Agreements, are subject to the discretion of the competent Government Agency.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283"/>
              <w:jc w:val="both"/>
              <w:rPr/>
            </w:pPr>
            <w:r>
              <w:rPr/>
              <w:t>The term “enforceable” or “enforceability” as used in this opinion means that the obligations assumed by the relevant obligors under the relevant Documents are of a type which the courts of the PRC may enforce. It does not mean that those obligations will necessarily be enforced in all circumstances in accordance with their respective terms and/or additional terms that may be imposed by the courts. As used in this opinion, the expression “to the best of our knowledge after due and reasonable inquiry” or similar language with reference to matters of fact refers to the current, actual knowledge of the attorneys of this firm who have worked on matters for the Company in connection with the Offering and the transactions contemplated thereby. We may rely, as to matters of fact (but not as to legal conclusions), to the extent we deem proper, on certificates and confirmations of responsible officers of the Company and Governmental Agencies.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(7)</w:t>
            </w:r>
          </w:p>
        </w:tc>
        <w:tc>
          <w:tcPr>
            <w:tcW w:w="9934" w:type="dxa"/>
            <w:tcBorders/>
            <w:vAlign w:val="center"/>
          </w:tcPr>
          <w:p>
            <w:pPr>
              <w:pStyle w:val="TableContents"/>
              <w:bidi w:val="0"/>
              <w:spacing w:before="0" w:after="283"/>
              <w:jc w:val="both"/>
              <w:rPr/>
            </w:pPr>
            <w:r>
              <w:rPr/>
              <w:t>Except as stated herein, we have not undertaken any independent investigation, search or other verification action to determine the existence or absence of any fact or to prepare this opinion, and no inference as to our knowledge of the existence or absence of any fact should be drawn from our representation of the Company or the rendering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(8)</w:t>
            </w:r>
          </w:p>
        </w:tc>
        <w:tc>
          <w:tcPr>
            <w:tcW w:w="9916" w:type="dxa"/>
            <w:tcBorders/>
            <w:vAlign w:val="center"/>
          </w:tcPr>
          <w:p>
            <w:pPr>
              <w:pStyle w:val="TableContents"/>
              <w:bidi w:val="0"/>
              <w:spacing w:before="0" w:after="283"/>
              <w:jc w:val="both"/>
              <w:rPr/>
            </w:pPr>
            <w:r>
              <w:rPr/>
              <w:t>This opinion is intended to be used in the context which is specifically referred to herein; each paragraph shall be construed as a whole and no part shall be extracted and referred to independently.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(9)</w:t>
            </w:r>
          </w:p>
        </w:tc>
        <w:tc>
          <w:tcPr>
            <w:tcW w:w="9917" w:type="dxa"/>
            <w:tcBorders/>
            <w:vAlign w:val="center"/>
          </w:tcPr>
          <w:p>
            <w:pPr>
              <w:pStyle w:val="TableContents"/>
              <w:bidi w:val="0"/>
              <w:spacing w:before="0" w:after="283"/>
              <w:jc w:val="both"/>
              <w:rPr/>
            </w:pPr>
            <w:r>
              <w:rPr/>
              <w:t>We assume no responsibility to advise you of facts, circumstances, events or developments that may be brought to our attention in future and that may alter, affect or modify the opinions expressed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to you and is intended to be used in the context which is specifically referred to herein; each paragraph shall be construed as a whole and no part shall be extracted and referred to independently. This opinion is not to be used, circulated, quoted or otherwise referred to for any other purpose other than as required by law or regulation and in connection with this Offering, or relied upon by anyone else without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tbl>
      <w:tblPr>
        <w:tblW w:w="2525" w:type="dxa"/>
        <w:jc w:val="left"/>
        <w:tblInd w:w="0" w:type="dxa"/>
        <w:tblLayout w:type="fixed"/>
        <w:tblCellMar>
          <w:top w:w="0" w:type="dxa"/>
          <w:left w:w="0" w:type="dxa"/>
          <w:bottom w:w="28" w:type="dxa"/>
          <w:right w:w="0" w:type="dxa"/>
        </w:tblCellMar>
      </w:tblPr>
      <w:tblGrid>
        <w:gridCol w:w="2450"/>
        <w:gridCol w:w="75"/>
      </w:tblGrid>
      <w:tr>
        <w:trPr/>
        <w:tc>
          <w:tcPr>
            <w:tcW w:w="2450" w:type="dxa"/>
            <w:tcBorders>
              <w:bottom w:val="single" w:sz="8" w:space="0" w:color="000000"/>
            </w:tcBorders>
            <w:vAlign w:val="center"/>
          </w:tcPr>
          <w:p>
            <w:pPr>
              <w:pStyle w:val="TableContents"/>
              <w:bidi w:val="0"/>
              <w:spacing w:before="0" w:after="283"/>
              <w:jc w:val="left"/>
              <w:rPr/>
            </w:pPr>
            <w:r>
              <w:rPr/>
              <w:t>/s/ Jingtian &amp; Gongcheng</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Jingtian &amp; Gongcheng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 Agreements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20"/>
              </w:rPr>
            </w:pPr>
            <w:r>
              <w:rPr>
                <w:sz w:val="20"/>
              </w:rPr>
              <w:t>1.</w:t>
            </w:r>
          </w:p>
        </w:tc>
        <w:tc>
          <w:tcPr>
            <w:tcW w:w="10032" w:type="dxa"/>
            <w:tcBorders/>
            <w:vAlign w:val="center"/>
          </w:tcPr>
          <w:p>
            <w:pPr>
              <w:pStyle w:val="TableContents"/>
              <w:bidi w:val="0"/>
              <w:spacing w:before="0" w:after="283"/>
              <w:jc w:val="both"/>
              <w:rPr/>
            </w:pPr>
            <w:r>
              <w:rPr/>
              <w:t>Equity Pledge Agreement by and among Beijing Dake Information Technology Co., Ltd., Beijing Duoke Information Technology Co., Ltd., Tianjin Zhanggongzi Technology Partnership (L.P.), Shenzhen Guohong No.2 Enterprise Management Partnership (L.P.) and Ningbo Meishan Baoshui Gangqu Tianhong Lvyan Investment Management Partnership (L.P.), dated November 4, 2022.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Exclusive Purchase Option Agreement, by and among Beijing Dake Information Technology Co., Ltd., Beijing Duoke Information Technology Co., Ltd., Tianjin Zhanggongzi Technology Partnership (L.P.), Shenzhen Guohong No.2 Enterprise Management Partnership (L.P.) and Ningbo Meishan Baoshui Gangqu Tianhong Lvyan Investment Management Partnership (L.P.), dated November 4, 2022.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3.</w:t>
            </w:r>
          </w:p>
        </w:tc>
        <w:tc>
          <w:tcPr>
            <w:tcW w:w="9997" w:type="dxa"/>
            <w:tcBorders/>
            <w:vAlign w:val="center"/>
          </w:tcPr>
          <w:p>
            <w:pPr>
              <w:pStyle w:val="TableContents"/>
              <w:bidi w:val="0"/>
              <w:spacing w:before="0" w:after="283"/>
              <w:jc w:val="both"/>
              <w:rPr/>
            </w:pPr>
            <w:r>
              <w:rPr/>
              <w:t>Exclusive Business Cooperation Agreement, by and between Beijing Dake Information Technology Co., Ltd. and Beijing Duoke Information Technology Co., Ltd., dated November 4, 2022.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4.</w:t>
            </w:r>
          </w:p>
        </w:tc>
        <w:tc>
          <w:tcPr>
            <w:tcW w:w="9990" w:type="dxa"/>
            <w:tcBorders/>
            <w:vAlign w:val="center"/>
          </w:tcPr>
          <w:p>
            <w:pPr>
              <w:pStyle w:val="TableContents"/>
              <w:bidi w:val="0"/>
              <w:spacing w:before="0" w:after="283"/>
              <w:jc w:val="both"/>
              <w:rPr/>
            </w:pPr>
            <w:r>
              <w:rPr/>
              <w:t>Power of Attorney, from Tianjin Zhanggongzi Technology Partnership (L.P.) to Beijing Dake Information Technology Co., Ltd., dated November 4, 2022.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5.</w:t>
            </w:r>
          </w:p>
        </w:tc>
        <w:tc>
          <w:tcPr>
            <w:tcW w:w="9994" w:type="dxa"/>
            <w:tcBorders/>
            <w:vAlign w:val="center"/>
          </w:tcPr>
          <w:p>
            <w:pPr>
              <w:pStyle w:val="TableContents"/>
              <w:bidi w:val="0"/>
              <w:spacing w:before="0" w:after="283"/>
              <w:jc w:val="both"/>
              <w:rPr/>
            </w:pPr>
            <w:r>
              <w:rPr/>
              <w:t>Power of Attorney, from Shenzhen Guohong No.2 Enterprise Management Partnership (L.P.) to Beijing Dake Information Technology Co., Ltd., dated November 4, 2022.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6.</w:t>
            </w:r>
          </w:p>
        </w:tc>
        <w:tc>
          <w:tcPr>
            <w:tcW w:w="9999" w:type="dxa"/>
            <w:tcBorders/>
            <w:vAlign w:val="center"/>
          </w:tcPr>
          <w:p>
            <w:pPr>
              <w:pStyle w:val="TableContents"/>
              <w:bidi w:val="0"/>
              <w:spacing w:before="0" w:after="283"/>
              <w:jc w:val="both"/>
              <w:rPr/>
            </w:pPr>
            <w:r>
              <w:rPr/>
              <w:t>Power of Attorney, from Ningbo Meishan Baoshui Gangqu Tianhong Lvyan Investment Management Partnership (L.P.) to Beijing Dake Information Technology Co., Ltd., dated November 4,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6" w:name="tm2625538d2_ex23-1.htm"/>
      <w:bookmarkStart w:id="27" w:name="kstm2625538d2_ex231"/>
      <w:bookmarkEnd w:id="26"/>
      <w:bookmarkEnd w:id="27"/>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667000" cy="695325"/>
            <wp:effectExtent l="0" t="0" r="0" b="0"/>
            <wp:docPr id="1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 descr=""/>
                    <pic:cNvPicPr>
                      <a:picLocks noChangeAspect="1" noChangeArrowheads="1"/>
                    </pic:cNvPicPr>
                  </pic:nvPicPr>
                  <pic:blipFill>
                    <a:blip r:embed="rId15"/>
                    <a:stretch>
                      <a:fillRect/>
                    </a:stretch>
                  </pic:blipFill>
                  <pic:spPr bwMode="auto">
                    <a:xfrm>
                      <a:off x="0" y="0"/>
                      <a:ext cx="2667000" cy="695325"/>
                    </a:xfrm>
                    <a:prstGeom prst="rect">
                      <a:avLst/>
                    </a:prstGeom>
                  </pic:spPr>
                </pic:pic>
              </a:graphicData>
            </a:graphic>
          </wp:inline>
        </w:drawing>
      </w:r>
      <w:r>
        <w:rPr/>
        <w:t> </w:t>
      </w:r>
    </w:p>
    <w:p>
      <w:pPr>
        <w:pStyle w:val="TextBody"/>
        <w:bidi w:val="0"/>
        <w:spacing w:before="0" w:after="283"/>
        <w:jc w:val="left"/>
        <w:rPr/>
      </w:pPr>
      <w:r>
        <w:rPr/>
        <w:t> </w:t>
      </w:r>
    </w:p>
    <w:p>
      <w:pPr>
        <w:pStyle w:val="TextBody"/>
        <w:bidi w:val="0"/>
        <w:jc w:val="center"/>
        <w:rPr/>
      </w:pPr>
      <w:r>
        <w:rPr/>
        <w:t>CONSENT OF INDEPENDENT REGISTERED PUBLIC ACCOUNTING FIRM</w:t>
      </w:r>
    </w:p>
    <w:p>
      <w:pPr>
        <w:pStyle w:val="TextBody"/>
        <w:bidi w:val="0"/>
        <w:jc w:val="center"/>
        <w:rPr/>
      </w:pPr>
      <w:r>
        <w:rPr/>
        <w:t> </w:t>
      </w:r>
    </w:p>
    <w:p>
      <w:pPr>
        <w:pStyle w:val="TextBody"/>
        <w:bidi w:val="0"/>
        <w:jc w:val="left"/>
        <w:rPr/>
      </w:pPr>
      <w:r>
        <w:rPr/>
        <w:t>We hereby consent to the incorporation by reference in this Registration Statement on Form F-3 of 36Kr Holdings Inc. of our report dated April 23, 2026 relating to the financial statements, which appears in 36Kr Holdings Inc.'s Annual Report on Form 20-F for the year ended December 31, 2025. We also consent to the reference to us under the heading “Experts” in such Registration Statement.</w:t>
      </w:r>
    </w:p>
    <w:p>
      <w:pPr>
        <w:pStyle w:val="TextBody"/>
        <w:bidi w:val="0"/>
        <w:spacing w:before="0" w:after="283"/>
        <w:jc w:val="left"/>
        <w:rPr/>
      </w:pPr>
      <w:r>
        <w:rPr/>
        <w:t> </w:t>
      </w:r>
    </w:p>
    <w:p>
      <w:pPr>
        <w:pStyle w:val="TextBody"/>
        <w:bidi w:val="0"/>
        <w:spacing w:before="0" w:after="283"/>
        <w:jc w:val="left"/>
        <w:rPr/>
      </w:pPr>
      <w:r>
        <w:rPr/>
        <w:t xml:space="preserve">/s/ PricewaterhouseCoopers Zhong Tian LLP </w:t>
        <w:br/>
        <w:t xml:space="preserve">Beijing, the People’s Republic of China </w:t>
        <w:br/>
        <w:t>September 22, 2026</w:t>
      </w:r>
    </w:p>
    <w:p>
      <w:pPr>
        <w:pStyle w:val="TextBody"/>
        <w:bidi w:val="0"/>
        <w:spacing w:before="0" w:after="283"/>
        <w:jc w:val="left"/>
        <w:rPr/>
      </w:pPr>
      <w:r>
        <w:rPr/>
        <w:t> </w:t>
      </w:r>
    </w:p>
    <w:tbl>
      <w:tblPr>
        <w:tblW w:w="6475" w:type="dxa"/>
        <w:jc w:val="left"/>
        <w:tblInd w:w="0" w:type="dxa"/>
        <w:tblLayout w:type="fixed"/>
        <w:tblCellMar>
          <w:top w:w="0" w:type="dxa"/>
          <w:left w:w="0" w:type="dxa"/>
          <w:bottom w:w="0" w:type="dxa"/>
          <w:right w:w="0" w:type="dxa"/>
        </w:tblCellMar>
      </w:tblPr>
      <w:tblGrid>
        <w:gridCol w:w="1415"/>
        <w:gridCol w:w="5060"/>
      </w:tblGrid>
      <w:tr>
        <w:trPr/>
        <w:tc>
          <w:tcPr>
            <w:tcW w:w="1415"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sz w:val="20"/>
              </w:rPr>
              <w:t>普华永道中天会计师事务所</w:t>
            </w:r>
            <w:r>
              <w:rPr>
                <w:sz w:val="20"/>
              </w:rPr>
              <w:t>(</w:t>
            </w:r>
            <w:r>
              <w:rPr>
                <w:sz w:val="20"/>
              </w:rPr>
              <w:t>特殊普通合伙</w:t>
            </w:r>
            <w:r>
              <w:rPr>
                <w:sz w:val="20"/>
              </w:rPr>
              <w:t>)</w:t>
            </w:r>
          </w:p>
        </w:tc>
      </w:tr>
      <w:tr>
        <w:trPr/>
        <w:tc>
          <w:tcPr>
            <w:tcW w:w="1415" w:type="dxa"/>
            <w:tcBorders/>
            <w:vAlign w:val="center"/>
          </w:tcPr>
          <w:p>
            <w:pPr>
              <w:pStyle w:val="TableContents"/>
              <w:bidi w:val="0"/>
              <w:spacing w:before="0" w:after="283"/>
              <w:jc w:val="left"/>
              <w:rPr>
                <w:b/>
                <w:sz w:val="20"/>
              </w:rPr>
            </w:pPr>
            <w:r>
              <w:rPr>
                <w:b/>
                <w:sz w:val="20"/>
              </w:rPr>
              <w:t>www.pwccn.com</w:t>
            </w:r>
          </w:p>
        </w:tc>
        <w:tc>
          <w:tcPr>
            <w:tcW w:w="5060" w:type="dxa"/>
            <w:tcBorders/>
            <w:vAlign w:val="center"/>
          </w:tcPr>
          <w:p>
            <w:pPr>
              <w:pStyle w:val="TableContents"/>
              <w:bidi w:val="0"/>
              <w:spacing w:before="0" w:after="283"/>
              <w:jc w:val="left"/>
              <w:rPr>
                <w:sz w:val="20"/>
              </w:rPr>
            </w:pPr>
            <w:r>
              <w:rPr>
                <w:sz w:val="20"/>
              </w:rPr>
              <w:t xml:space="preserve">PricewaterhouseCoopers Zhong Tian LLP </w:t>
              <w:br/>
              <w:t xml:space="preserve">11/F PricewaterhouseCoopers Center, Link Square 2 </w:t>
              <w:br/>
              <w:t>202 Hu Bin Road, Huangpu District, Shanghai 200021, China</w:t>
              <w:br/>
              <w:t>T: +86 (21) 2323 8888, F: +86 (21) 2323 8800</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8" w:name="tm2625538d2_ex23-3.htm"/>
      <w:bookmarkStart w:id="29" w:name="kstm2625538d2_ex233"/>
      <w:bookmarkEnd w:id="28"/>
      <w:bookmarkEnd w:id="29"/>
      <w:r>
        <w:rPr/>
        <w:t> </w:t>
      </w:r>
      <w:r>
        <w:br w:type="page"/>
      </w:r>
    </w:p>
    <w:p>
      <w:pPr>
        <w:pStyle w:val="TextBody"/>
        <w:bidi w:val="0"/>
        <w:jc w:val="right"/>
        <w:rPr>
          <w:b/>
        </w:rPr>
      </w:pPr>
      <w:r>
        <w:rPr>
          <w:b/>
        </w:rPr>
        <w:t>Exhibit 23.3</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Jingtian &amp; Gongcheng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34/F, Tower 3, China Central Place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Jianguo Road, Chaoyang District, Beijing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36Kr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B6,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Universal Business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10 Jiuxianqiao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Jingtian &amp; Gongcheng, refer to the Amendment No.1 to Form F-3 (the “F-3 Amendment”) of 36Kr Holdings Inc. (the “Company”), which will be filed with the Securities and Exchange Commission (the “SEC”) on or around September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being the PRC legal advisor to the Company in connection with the F-3 Amendment, hereby give our consent, and confirm that we have not withdrawn our consent, to include our name, opinions, advice, confirmations and/or summaries of the same in the F-3 Amendment, and the references to our name, opinions, advice and/or confirmations in the form and context in which they respectively appear in the F-3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hereby consent to the filing of this consent letter and our opinion dated September 22, 2026 in connection with the F-3 Amendment with the SEC as exhibits to the F-3 Amendment.</w:t>
      </w:r>
    </w:p>
    <w:p>
      <w:pPr>
        <w:pStyle w:val="TextBody"/>
        <w:bidi w:val="0"/>
        <w:spacing w:before="0" w:after="0"/>
        <w:ind w:left="0" w:right="0" w:hanging="0"/>
        <w:jc w:val="both"/>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2120"/>
        <w:gridCol w:w="75"/>
      </w:tblGrid>
      <w:tr>
        <w:trPr/>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both"/>
              <w:rPr/>
            </w:pPr>
            <w:r>
              <w:rPr/>
              <w:t> </w:t>
            </w:r>
          </w:p>
        </w:tc>
      </w:tr>
      <w:tr>
        <w:trPr/>
        <w:tc>
          <w:tcPr>
            <w:tcW w:w="212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2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Jingtian &amp; Gongcheng</w:t>
            </w:r>
          </w:p>
        </w:tc>
        <w:tc>
          <w:tcPr>
            <w:tcW w:w="75" w:type="dxa"/>
            <w:tcBorders/>
            <w:vAlign w:val="center"/>
          </w:tcPr>
          <w:p>
            <w:pPr>
              <w:pStyle w:val="TableContents"/>
              <w:bidi w:val="0"/>
              <w:spacing w:before="0" w:after="283"/>
              <w:jc w:val="both"/>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Jingtian &amp; Gongcheng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ind w:left="0" w:right="0" w:hanging="0"/>
        <w:jc w:val="left"/>
        <w:rPr>
          <w:sz w:val="4"/>
          <w:szCs w:val="4"/>
        </w:rPr>
      </w:pPr>
      <w:r>
        <w:rPr>
          <w:sz w:val="4"/>
          <w:szCs w:val="4"/>
        </w:rPr>
      </w:r>
      <w:bookmarkStart w:id="30" w:name="tm2625538d1_ex-filingfees.htm"/>
      <w:bookmarkStart w:id="31" w:name="kstm2625538d1_exfilingfees"/>
      <w:bookmarkStart w:id="32" w:name="tm2625538d1_ex-filingfees.htm"/>
      <w:bookmarkStart w:id="33" w:name="kstm2625538d1_exfilingfees"/>
      <w:bookmarkEnd w:id="32"/>
      <w:bookmarkEnd w:id="33"/>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36Kr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1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58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Class A Ordinary shares, par value US$0.0001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$ 300,000,000.00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$ 45,930.00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$ 300,000,000.00 </w:t>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$ 45,930.00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$ 45,930.00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Includes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These securities are not being registered for the purposes of sales outside of the United States. An indeterminate amount or number of the securities of each identified class described in this registration statement is being registered as may from time to time be issued by the registrant at indeterminate prices in U.S. dollars, and subject to Rule 462(b) under the Securities Act, in no event will the aggregate maximum offering price of all securities sold by the registrant pursuant to this registration statement exceed US$300,000,000 or the equivalent thereof in one or more foreign currencies, foreign currency units or composite currencies. Estimated solely for the purpose of calculating the registration fee pursuant to Rule 457(o) under the Securities Act and reflects the maximum offering price of securities registered hereunder in the primary offering. The proposed maximum aggregate offering price of each class of securities offered by the registrant will be determined from time to time by the registrant in connection with the issuance by the registrant of the securities registered hereunder and is not specified as to each class of securities pursuant to the General Instruction II.C. of Form F-3 under the Securities Act.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779476/000110465926047351/krkr-20251231x20f.htm" TargetMode="External"/><Relationship Id="rId4" Type="http://schemas.openxmlformats.org/officeDocument/2006/relationships/hyperlink" Target="http://www.sec.gov/ix?doc=/Archives/edgar/data/1779476/000110465926063497/tm2614934d2_20fa.htm" TargetMode="External"/><Relationship Id="rId5" Type="http://schemas.openxmlformats.org/officeDocument/2006/relationships/hyperlink" Target="http://www.sec.gov/Archives/edgar/data/1779476/000110465926028947/tm268885d1_6k.htm" TargetMode="External"/><Relationship Id="rId6" Type="http://schemas.openxmlformats.org/officeDocument/2006/relationships/hyperlink" Target="http://www.sec.gov/Archives/edgar/data/1779476/000110465926063382/tm2614934d1_6ka.htm" TargetMode="External"/><Relationship Id="rId7" Type="http://schemas.openxmlformats.org/officeDocument/2006/relationships/hyperlink" Target="http://www.sec.gov/Archives/edgar/data/1779476/000110465926098910/tm2623485d1_6k.htm" TargetMode="External"/><Relationship Id="rId8" Type="http://schemas.openxmlformats.org/officeDocument/2006/relationships/hyperlink" Target="http://www.sec.gov/Archives/edgar/data/1779476/000110465919058622/a19-11309_88a12b.htm" TargetMode="External"/><Relationship Id="rId9" Type="http://schemas.openxmlformats.org/officeDocument/2006/relationships/hyperlink" Target="http://www.sec.gov/Archives/edgar/data/1779476/000110465921056812/a21-3508_1ex2d4.htm" TargetMode="External"/><Relationship Id="rId10" Type="http://schemas.openxmlformats.org/officeDocument/2006/relationships/hyperlink" Target="https://www.sec.gov/Archives/edgar/data/1779476/000104746919005931/a2239808zex-4_3.htm" TargetMode="External"/><Relationship Id="rId11" Type="http://schemas.openxmlformats.org/officeDocument/2006/relationships/hyperlink" Target="https://www.sec.gov/Archives/edgar/data/1779476/000104746919005931/a2239808zex-4_2.htm" TargetMode="External"/><Relationship Id="rId12" Type="http://schemas.openxmlformats.org/officeDocument/2006/relationships/hyperlink" Target="https://www.sec.gov/Archives/edgar/data/1779476/000104746919005931/a2239808zex-4_3.htm"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31947</Words>
  <Characters>167563</Characters>
  <CharactersWithSpaces>200358</CharactersWithSpaces>
  <Paragraphs>2011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