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495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4952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LI YANG SYLVIA</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1860" w:type="dxa"/>
            <w:vAlign w:val="bottom"/>
            <w:tcBorders>
              <w:top w:val="single" w:sz="8" w:color="0000EE"/>
            </w:tcBorders>
          </w:tcPr>
          <w:p>
            <w:pPr>
              <w:spacing w:after="0"/>
              <w:rPr>
                <w:sz w:val="17"/>
                <w:szCs w:val="17"/>
                <w:color w:val="auto"/>
              </w:rPr>
            </w:pPr>
          </w:p>
        </w:tc>
        <w:tc>
          <w:tcPr>
            <w:tcW w:w="1160" w:type="dxa"/>
            <w:vAlign w:val="bottom"/>
          </w:tcPr>
          <w:p>
            <w:pPr>
              <w:spacing w:after="0"/>
              <w:rPr>
                <w:sz w:val="17"/>
                <w:szCs w:val="17"/>
                <w:color w:val="auto"/>
              </w:rPr>
            </w:pPr>
          </w:p>
        </w:tc>
        <w:tc>
          <w:tcPr>
            <w:tcW w:w="1560" w:type="dxa"/>
            <w:vAlign w:val="bottom"/>
          </w:tcPr>
          <w:p>
            <w:pPr>
              <w:ind w:left="200"/>
              <w:spacing w:after="0" w:line="205"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36Kr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KRKR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2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140"/>
              <w:spacing w:after="0"/>
              <w:rPr>
                <w:sz w:val="20"/>
                <w:szCs w:val="20"/>
                <w:color w:val="auto"/>
              </w:rPr>
            </w:pPr>
            <w:r>
              <w:rPr>
                <w:rFonts w:ascii="Arial" w:cs="Arial" w:eastAsia="Arial" w:hAnsi="Arial"/>
                <w:sz w:val="15"/>
                <w:szCs w:val="15"/>
                <w:color w:val="auto"/>
              </w:rPr>
              <w:t>(First)</w:t>
            </w:r>
          </w:p>
        </w:tc>
        <w:tc>
          <w:tcPr>
            <w:tcW w:w="1100" w:type="dxa"/>
            <w:vAlign w:val="bottom"/>
          </w:tcPr>
          <w:p>
            <w:pPr>
              <w:ind w:left="100"/>
              <w:spacing w:after="0"/>
              <w:rPr>
                <w:sz w:val="20"/>
                <w:szCs w:val="20"/>
                <w:color w:val="auto"/>
              </w:rPr>
            </w:pPr>
            <w:r>
              <w:rPr>
                <w:rFonts w:ascii="Arial" w:cs="Arial" w:eastAsia="Arial" w:hAnsi="Arial"/>
                <w:sz w:val="15"/>
                <w:szCs w:val="15"/>
                <w:color w:val="auto"/>
              </w:rPr>
              <w:t>(Middle)</w:t>
            </w:r>
          </w:p>
        </w:tc>
      </w:tr>
      <w:tr>
        <w:trPr>
          <w:trHeight w:val="296"/>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36KR B6 HENGTONG</w:t>
            </w:r>
          </w:p>
        </w:tc>
        <w:tc>
          <w:tcPr>
            <w:tcW w:w="1100" w:type="dxa"/>
            <w:vAlign w:val="bottom"/>
          </w:tcPr>
          <w:p>
            <w:pPr>
              <w:spacing w:after="0"/>
              <w:rPr>
                <w:sz w:val="24"/>
                <w:szCs w:val="24"/>
                <w:color w:val="auto"/>
              </w:rPr>
            </w:pPr>
          </w:p>
        </w:tc>
      </w:tr>
      <w:tr>
        <w:trPr>
          <w:trHeight w:val="254"/>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SHANGWUYUAN</w:t>
            </w:r>
          </w:p>
        </w:tc>
        <w:tc>
          <w:tcPr>
            <w:tcW w:w="1100" w:type="dxa"/>
            <w:vAlign w:val="bottom"/>
          </w:tcPr>
          <w:p>
            <w:pPr>
              <w:spacing w:after="0"/>
              <w:rPr>
                <w:sz w:val="22"/>
                <w:szCs w:val="22"/>
                <w:color w:val="auto"/>
              </w:rPr>
            </w:pPr>
          </w:p>
        </w:tc>
      </w:tr>
      <w:tr>
        <w:trPr>
          <w:trHeight w:val="237"/>
        </w:trPr>
        <w:tc>
          <w:tcPr>
            <w:tcW w:w="92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r>
      <w:tr>
        <w:trPr>
          <w:trHeight w:val="303"/>
        </w:trPr>
        <w:tc>
          <w:tcPr>
            <w:tcW w:w="92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5"/>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BEIJING</w:t>
            </w:r>
          </w:p>
        </w:tc>
        <w:tc>
          <w:tcPr>
            <w:tcW w:w="108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F4</w:t>
            </w:r>
          </w:p>
        </w:tc>
        <w:tc>
          <w:tcPr>
            <w:tcW w:w="110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100000</w:t>
            </w:r>
          </w:p>
        </w:tc>
      </w:tr>
      <w:tr>
        <w:trPr>
          <w:trHeight w:val="177"/>
        </w:trPr>
        <w:tc>
          <w:tcPr>
            <w:tcW w:w="9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r>
      <w:tr>
        <w:trPr>
          <w:trHeight w:val="348"/>
        </w:trPr>
        <w:tc>
          <w:tcPr>
            <w:tcW w:w="920" w:type="dxa"/>
            <w:vAlign w:val="bottom"/>
          </w:tcPr>
          <w:p>
            <w:pPr>
              <w:ind w:left="40"/>
              <w:spacing w:after="0"/>
              <w:rPr>
                <w:sz w:val="20"/>
                <w:szCs w:val="20"/>
                <w:color w:val="auto"/>
              </w:rPr>
            </w:pPr>
            <w:r>
              <w:rPr>
                <w:rFonts w:ascii="Arial" w:cs="Arial" w:eastAsia="Arial" w:hAnsi="Arial"/>
                <w:sz w:val="15"/>
                <w:szCs w:val="15"/>
                <w:color w:val="auto"/>
              </w:rPr>
              <w:t>(City)</w:t>
            </w:r>
          </w:p>
        </w:tc>
        <w:tc>
          <w:tcPr>
            <w:tcW w:w="1080" w:type="dxa"/>
            <w:vAlign w:val="bottom"/>
          </w:tcPr>
          <w:p>
            <w:pPr>
              <w:ind w:left="140"/>
              <w:spacing w:after="0"/>
              <w:rPr>
                <w:sz w:val="20"/>
                <w:szCs w:val="20"/>
                <w:color w:val="auto"/>
              </w:rPr>
            </w:pPr>
            <w:r>
              <w:rPr>
                <w:rFonts w:ascii="Arial" w:cs="Arial" w:eastAsia="Arial" w:hAnsi="Arial"/>
                <w:sz w:val="15"/>
                <w:szCs w:val="15"/>
                <w:color w:val="auto"/>
              </w:rPr>
              <w:t>(State)</w:t>
            </w:r>
          </w:p>
        </w:tc>
        <w:tc>
          <w:tcPr>
            <w:tcW w:w="1100" w:type="dxa"/>
            <w:vAlign w:val="bottom"/>
          </w:tcPr>
          <w:p>
            <w:pPr>
              <w:ind w:left="1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Chief Content Officer</w:t>
      </w:r>
    </w:p>
    <w:p>
      <w:pPr>
        <w:spacing w:after="0" w:line="20" w:lineRule="exact"/>
        <w:rPr>
          <w:sz w:val="24"/>
          <w:szCs w:val="24"/>
          <w:color w:val="auto"/>
        </w:rPr>
      </w:pPr>
      <w:r>
        <w:rPr>
          <w:sz w:val="24"/>
          <w:szCs w:val="24"/>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304"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59" w:lineRule="exact"/>
        <w:rPr>
          <w:sz w:val="24"/>
          <w:szCs w:val="24"/>
          <w:color w:val="auto"/>
        </w:rPr>
      </w:pPr>
    </w:p>
    <w:p>
      <w:pPr>
        <w:sectPr>
          <w:pgSz w:w="11900" w:h="16838" w:orient="portrait"/>
          <w:cols w:equalWidth="0" w:num="3">
            <w:col w:w="4277" w:space="720"/>
            <w:col w:w="3003" w:space="260"/>
            <w:col w:w="2680"/>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5"/>
                <w:szCs w:val="15"/>
                <w:b w:val="1"/>
                <w:bCs w:val="1"/>
                <w:color w:val="auto"/>
                <w:w w:val="99"/>
              </w:rPr>
              <w:t>2. Amount of Securities</w:t>
            </w: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2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3"/>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American Depositary Security</w:t>
            </w:r>
            <w:r>
              <w:rPr>
                <w:rFonts w:ascii="Times New Roman" w:cs="Times New Roman" w:eastAsia="Times New Roman" w:hAnsi="Times New Roman"/>
                <w:sz w:val="25"/>
                <w:szCs w:val="25"/>
                <w:color w:val="008000"/>
                <w:vertAlign w:val="superscript"/>
              </w:rPr>
              <w:t>(1)</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ind w:left="800"/>
              <w:spacing w:after="0"/>
              <w:rPr>
                <w:sz w:val="20"/>
                <w:szCs w:val="20"/>
                <w:color w:val="auto"/>
              </w:rPr>
            </w:pPr>
            <w:r>
              <w:rPr>
                <w:rFonts w:ascii="Times New Roman" w:cs="Times New Roman" w:eastAsia="Times New Roman" w:hAnsi="Times New Roman"/>
                <w:sz w:val="20"/>
                <w:szCs w:val="20"/>
                <w:color w:val="0000FF"/>
              </w:rPr>
              <w:t>1,642</w:t>
            </w:r>
          </w:p>
        </w:tc>
        <w:tc>
          <w:tcPr>
            <w:tcW w:w="9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5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180" w:type="dxa"/>
            <w:vAlign w:val="bottom"/>
            <w:tcBorders>
              <w:top w:val="single" w:sz="8" w:color="2C2C2C"/>
            </w:tcBorders>
            <w:gridSpan w:val="6"/>
          </w:tcPr>
          <w:p>
            <w:pPr>
              <w:ind w:left="2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0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8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9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gridSpan w:val="2"/>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00" w:type="dxa"/>
            <w:vAlign w:val="bottom"/>
            <w:vMerge w:val="continue"/>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Employee Share Option</w:t>
            </w:r>
          </w:p>
        </w:tc>
        <w:tc>
          <w:tcPr>
            <w:tcW w:w="11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09/07/2029</w:t>
            </w: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3"/>
              </w:rPr>
              <w:t>359</w:t>
            </w:r>
          </w:p>
        </w:tc>
        <w:tc>
          <w:tcPr>
            <w:tcW w:w="40" w:type="dxa"/>
            <w:vAlign w:val="bottom"/>
          </w:tcPr>
          <w:p>
            <w:pPr>
              <w:spacing w:after="0"/>
              <w:rPr>
                <w:sz w:val="24"/>
                <w:szCs w:val="24"/>
                <w:color w:val="auto"/>
              </w:rPr>
            </w:pP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20"/>
                <w:szCs w:val="20"/>
                <w:color w:val="0000FF"/>
              </w:rPr>
              <w:t>0.0001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9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Employee Share Option</w:t>
            </w:r>
          </w:p>
        </w:tc>
        <w:tc>
          <w:tcPr>
            <w:tcW w:w="11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09/07/2029</w:t>
            </w: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4"/>
              </w:rPr>
              <w:t>40,076</w:t>
            </w:r>
          </w:p>
        </w:tc>
        <w:tc>
          <w:tcPr>
            <w:tcW w:w="40" w:type="dxa"/>
            <w:vAlign w:val="bottom"/>
          </w:tcPr>
          <w:p>
            <w:pPr>
              <w:spacing w:after="0"/>
              <w:rPr>
                <w:sz w:val="24"/>
                <w:szCs w:val="24"/>
                <w:color w:val="auto"/>
              </w:rPr>
            </w:pP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20"/>
                <w:szCs w:val="20"/>
                <w:color w:val="0000FF"/>
              </w:rPr>
              <w:t>0.0001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9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Employee Share Option</w:t>
            </w:r>
          </w:p>
        </w:tc>
        <w:tc>
          <w:tcPr>
            <w:tcW w:w="11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06/19/2031</w:t>
            </w: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1,125,000</w:t>
            </w:r>
          </w:p>
        </w:tc>
        <w:tc>
          <w:tcPr>
            <w:tcW w:w="40" w:type="dxa"/>
            <w:vAlign w:val="bottom"/>
          </w:tcPr>
          <w:p>
            <w:pPr>
              <w:spacing w:after="0"/>
              <w:rPr>
                <w:sz w:val="24"/>
                <w:szCs w:val="24"/>
                <w:color w:val="auto"/>
              </w:rPr>
            </w:pP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20"/>
                <w:szCs w:val="20"/>
                <w:color w:val="0000FF"/>
              </w:rPr>
              <w:t>0.0001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9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4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were granted on September 7, 2019, 2,747,929 shares vested immediately, 1,373,965 shares vested on December 19, 2019 and 1,373,965 shares vested on December 19,2020. As of the date of this Form 3, 4,674,500 shares were exercised to ADSs and sold; 821,000 shares of the options has been fully exercised into 1,642 American Depositary Securities; the remaining 359 shares of such options are fully vested and exercisable.</w:t>
      </w:r>
    </w:p>
    <w:p>
      <w:pPr>
        <w:spacing w:after="0" w:line="29" w:lineRule="exact"/>
        <w:rPr>
          <w:rFonts w:ascii="Times New Roman" w:cs="Times New Roman" w:eastAsia="Times New Roman" w:hAnsi="Times New Roman"/>
          <w:sz w:val="15"/>
          <w:szCs w:val="15"/>
          <w:color w:val="008000"/>
        </w:rPr>
      </w:pPr>
    </w:p>
    <w:p>
      <w:pPr>
        <w:ind w:left="40" w:right="2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were granted on September 7, 2019, and all 79,576 shares were vested in equal installments over a four-year period. As of the date of this Form 3, 39,500 shares were exercised to ADSs and sold and the remaining 40,076 shares of such options are fully vested and exercisable.</w:t>
      </w:r>
    </w:p>
    <w:p>
      <w:pPr>
        <w:spacing w:after="0" w:line="17" w:lineRule="exact"/>
        <w:rPr>
          <w:rFonts w:ascii="Times New Roman" w:cs="Times New Roman" w:eastAsia="Times New Roman" w:hAnsi="Times New Roman"/>
          <w:sz w:val="15"/>
          <w:szCs w:val="15"/>
          <w:color w:val="008000"/>
        </w:rPr>
      </w:pPr>
    </w:p>
    <w:p>
      <w:pPr>
        <w:ind w:left="40" w:right="2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were granted on June 19, 2021, and all 1,500,000 shares were vested in equal installments over a four-year period. As of the date of this Form 3, 375,000 shares were exercised to ADSs and sold; the remaining 1,125,000 shares of such options are fully vested and currently exercisable.</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3"/>
              </w:rPr>
              <w:t>/s/ Yang Li</w:t>
            </w:r>
          </w:p>
        </w:tc>
        <w:tc>
          <w:tcPr>
            <w:tcW w:w="132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03/30/2026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20132" TargetMode="External"/><Relationship Id="rId11" Type="http://schemas.openxmlformats.org/officeDocument/2006/relationships/hyperlink" Target="http://www.sec.gov/cgi-bin/browse-edgar?action=getcompany&amp;CIK=0001779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2026-03-30T17:41:46Z</dcterms:created>
  <dcterms:modified xsi:type="dcterms:W3CDTF">2026-03-30T17:41:46Z</dcterms:modified>
</cp:coreProperties>
</file>